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30235">
      <w:pPr>
        <w:rPr>
          <w:b/>
          <w:color w:val="17365D"/>
          <w:sz w:val="22"/>
          <w:szCs w:val="22"/>
        </w:rPr>
      </w:pPr>
    </w:p>
    <w:p w:rsidR="00000000" w:rsidRPr="00714F56" w:rsidRDefault="00230235" w:rsidP="00714F56">
      <w:pPr>
        <w:spacing w:line="276" w:lineRule="auto"/>
        <w:jc w:val="center"/>
        <w:rPr>
          <w:b/>
          <w:i/>
          <w:color w:val="17365D"/>
        </w:rPr>
      </w:pPr>
      <w:r w:rsidRPr="00714F56">
        <w:rPr>
          <w:b/>
          <w:color w:val="17365D"/>
        </w:rPr>
        <w:t>ΑΠΟΦΑΣΗ ΠΕΡΙΦΕΡΕΙΑΚΟΥ ΣΥΜΒΟΥΛΙΟΥ ΤΗΣ 30</w:t>
      </w:r>
      <w:r w:rsidRPr="00714F56">
        <w:rPr>
          <w:b/>
          <w:color w:val="17365D"/>
          <w:vertAlign w:val="superscript"/>
        </w:rPr>
        <w:t>ης</w:t>
      </w:r>
      <w:r w:rsidRPr="00714F56">
        <w:rPr>
          <w:b/>
          <w:color w:val="17365D"/>
        </w:rPr>
        <w:t xml:space="preserve"> Οκτωβρίου 2020</w:t>
      </w:r>
    </w:p>
    <w:p w:rsidR="00000000" w:rsidRPr="00714F56" w:rsidRDefault="00230235" w:rsidP="00714F56">
      <w:pPr>
        <w:spacing w:line="276" w:lineRule="auto"/>
        <w:jc w:val="both"/>
        <w:rPr>
          <w:b/>
          <w:color w:val="17365D"/>
        </w:rPr>
      </w:pPr>
    </w:p>
    <w:p w:rsidR="00000000" w:rsidRPr="00714F56" w:rsidRDefault="00230235" w:rsidP="00714F56">
      <w:pPr>
        <w:spacing w:line="276" w:lineRule="auto"/>
        <w:jc w:val="both"/>
      </w:pPr>
      <w:r w:rsidRPr="00714F56">
        <w:t xml:space="preserve">Ενόψει της ανακοίνωσης στο προσεχές διάστημα των νέων επιχειρησιακών προγραμμάτων της περιόδου 2021-2027, στο πλαίσιο του επόμενου </w:t>
      </w:r>
      <w:proofErr w:type="spellStart"/>
      <w:r w:rsidRPr="00714F56">
        <w:t>ΕΣΠΑ</w:t>
      </w:r>
      <w:proofErr w:type="spellEnd"/>
      <w:r w:rsidRPr="00714F56">
        <w:t>, το Περιφερειακό Συμβούλιο Νοτίου Αιγαίου, με απόφασή του στη</w:t>
      </w:r>
      <w:r w:rsidRPr="00714F56">
        <w:t>ν συνεδρίαση της 30</w:t>
      </w:r>
      <w:r w:rsidRPr="00714F56">
        <w:rPr>
          <w:vertAlign w:val="superscript"/>
        </w:rPr>
        <w:t>ης</w:t>
      </w:r>
      <w:r w:rsidRPr="00714F56">
        <w:t xml:space="preserve"> Οκτωβρίου 2020, ζητεί από την κυβέρνηση την κάλυψη του χρηματοδοτικού κενού το οποίο θα προκύψει από την κατανομή των νέων ευρωπαϊκών χρηματοδοτήσεων. </w:t>
      </w:r>
    </w:p>
    <w:p w:rsidR="00000000" w:rsidRPr="00714F56" w:rsidRDefault="00230235" w:rsidP="00714F56">
      <w:pPr>
        <w:spacing w:line="276" w:lineRule="auto"/>
        <w:jc w:val="both"/>
        <w:rPr>
          <w:u w:val="single"/>
        </w:rPr>
      </w:pPr>
      <w:r w:rsidRPr="00714F56">
        <w:t>Το Νότιο Αιγαίο παραμείνει έως και σήμερα, σταθερά, επίμονα και διαχρονικά, η πλέο</w:t>
      </w:r>
      <w:r w:rsidRPr="00714F56">
        <w:t xml:space="preserve">ν </w:t>
      </w:r>
      <w:proofErr w:type="spellStart"/>
      <w:r w:rsidRPr="00714F56">
        <w:t>υποχρηματοδοτημένη</w:t>
      </w:r>
      <w:proofErr w:type="spellEnd"/>
      <w:r w:rsidRPr="00714F56">
        <w:t xml:space="preserve"> Περιφέρεια της χώρας, καθώς εξακολουθεί να πληρώνει επί δεκαετίες την απόκλιση της πραγματικής εικόνας της οικονομίας των νησιών της με αυτή των δημοσιονομικών δεικτών. </w:t>
      </w:r>
      <w:r w:rsidRPr="00714F56">
        <w:rPr>
          <w:u w:val="single"/>
        </w:rPr>
        <w:t>Αλλά και το τρομακτικό έλλειμμα σχεδιασμού και υλοποίησης Τομεακών</w:t>
      </w:r>
      <w:r w:rsidRPr="00714F56">
        <w:rPr>
          <w:u w:val="single"/>
        </w:rPr>
        <w:t xml:space="preserve"> </w:t>
      </w:r>
      <w:proofErr w:type="spellStart"/>
      <w:r w:rsidRPr="00714F56">
        <w:rPr>
          <w:u w:val="single"/>
        </w:rPr>
        <w:t>Εργων</w:t>
      </w:r>
      <w:proofErr w:type="spellEnd"/>
      <w:r w:rsidRPr="00714F56">
        <w:rPr>
          <w:u w:val="single"/>
        </w:rPr>
        <w:t xml:space="preserve"> από πλευράς της Κεντρικής Διοίκησης στα νησιά του. </w:t>
      </w:r>
    </w:p>
    <w:p w:rsidR="00000000" w:rsidRPr="00714F56" w:rsidRDefault="00230235" w:rsidP="00714F56">
      <w:pPr>
        <w:spacing w:line="276" w:lineRule="auto"/>
        <w:jc w:val="both"/>
      </w:pPr>
      <w:r w:rsidRPr="00714F56">
        <w:t> </w:t>
      </w:r>
    </w:p>
    <w:p w:rsidR="00000000" w:rsidRPr="00714F56" w:rsidRDefault="00230235" w:rsidP="00714F56">
      <w:pPr>
        <w:spacing w:line="276" w:lineRule="auto"/>
        <w:jc w:val="both"/>
      </w:pPr>
      <w:r w:rsidRPr="00714F56">
        <w:t xml:space="preserve">Παρότι οι συνθήκες την τελευταία δεκαετία έχουν αλλάξει δραματικά, λόγω της οικονομικής κρίσης, αυτό που παραμένει σταθερό είναι η </w:t>
      </w:r>
      <w:proofErr w:type="spellStart"/>
      <w:r w:rsidRPr="00714F56">
        <w:t>υποχρηματοδότηση</w:t>
      </w:r>
      <w:proofErr w:type="spellEnd"/>
      <w:r w:rsidRPr="00714F56">
        <w:t xml:space="preserve"> του Νοτίου Αιγαίου όσον αφορά το  τρέχον Επιχει</w:t>
      </w:r>
      <w:r w:rsidRPr="00714F56">
        <w:t xml:space="preserve">ρησιακό Πρόγραμμα «Νότιο Αιγαίο 2014 – 2020», με μόλις 168 </w:t>
      </w:r>
      <w:proofErr w:type="spellStart"/>
      <w:r w:rsidRPr="00714F56">
        <w:t>εκατ</w:t>
      </w:r>
      <w:proofErr w:type="spellEnd"/>
      <w:r w:rsidRPr="00714F56">
        <w:t>, ευρώ  για την 2014 – 2020, για 48 κατοικημένα νησιά, αλλά και το  Εθνικό Πρόγραμμα Ανάπτυξης (</w:t>
      </w:r>
      <w:proofErr w:type="spellStart"/>
      <w:r w:rsidRPr="00714F56">
        <w:t>ΕΠΑ</w:t>
      </w:r>
      <w:proofErr w:type="spellEnd"/>
      <w:r w:rsidRPr="00714F56">
        <w:t xml:space="preserve">), ύψους 91 ε. ευρώ το μικρότερο έναντι των υπολοίπων Περιφερειών, το οποίο μάλιστα θα πρέπει </w:t>
      </w:r>
      <w:r w:rsidRPr="00714F56">
        <w:t>να καλύψει και τα έργα που δεν θα έχουν ολοκληρωθεί εντός της περιόδου 2014-2010 !</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Το διαρκές πρόβλημα που καλείται  να αντιμετωπίσει η Περιφέρεια Νοτίου Αιγαίου, είναι η κάλυψη των υπαρκτών αναγκών του μεγάλου αριθμού των νησιών της, Κυκλάδων και Δωδεκαν</w:t>
      </w:r>
      <w:r w:rsidRPr="00714F56">
        <w:t>ήσου, αλλά όχι μόνο αυτές.</w:t>
      </w:r>
    </w:p>
    <w:p w:rsidR="00000000" w:rsidRPr="00714F56" w:rsidRDefault="00230235" w:rsidP="00714F56">
      <w:pPr>
        <w:spacing w:line="276" w:lineRule="auto"/>
        <w:jc w:val="both"/>
      </w:pPr>
      <w:r w:rsidRPr="00714F56">
        <w:t>Είναι η  μοναδική Περιφέρεια της χώρας που εκτελεί και χρηματοδοτεί τεχνικά προγράμματα άλλων φορέων, κυρίως νησιωτικών δήμων της περιοχής ευθύνης της,  ακόμη και υπουργείων, με τρόπο που να μην εξαιρούνται τα νησιά από τις αναπτ</w:t>
      </w:r>
      <w:r w:rsidRPr="00714F56">
        <w:t xml:space="preserve">υξιακές δυνατότητες έναντι των υπολοίπων περιοχών   </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Σημειώνεται ότι, επιπλέον του δικού της προγράμματος και της στήριξης των νησιωτικών δήμων, η Περιφέρεια Νοτίου Αιγαίου ασκεί παράλληλα τις αρμοδιότητες  που έχουν μεταβιβαστεί σε αυτήν, χωρίς να έχει γ</w:t>
      </w:r>
      <w:r w:rsidRPr="00714F56">
        <w:t>ίνει η μεταβίβαση των αντίστοιχων πόρων (πχ καθαρισμός ρεμάτων ).</w:t>
      </w:r>
    </w:p>
    <w:p w:rsidR="00000000" w:rsidRPr="00714F56" w:rsidRDefault="00230235" w:rsidP="00714F56">
      <w:pPr>
        <w:spacing w:line="276" w:lineRule="auto"/>
        <w:jc w:val="both"/>
      </w:pPr>
      <w:r w:rsidRPr="00714F56">
        <w:t> </w:t>
      </w:r>
    </w:p>
    <w:p w:rsidR="00000000" w:rsidRPr="00714F56" w:rsidRDefault="00230235" w:rsidP="00714F56">
      <w:pPr>
        <w:spacing w:line="276" w:lineRule="auto"/>
        <w:jc w:val="both"/>
      </w:pPr>
      <w:r w:rsidRPr="00714F56">
        <w:t>Είναι απολύτως σαφές, πως η χρηματοδοτική ενίσχυση της πιο δύσκολης πολυνησιακής Περιφέρειας της χώρας, αλλά και της Ευρώπης, καθίσταται εκ των ων ουκ άνευ, ως συνθήκη επιβίωσης.</w:t>
      </w:r>
    </w:p>
    <w:p w:rsidR="00000000" w:rsidRPr="00714F56" w:rsidRDefault="00230235" w:rsidP="00714F56">
      <w:pPr>
        <w:spacing w:line="276" w:lineRule="auto"/>
        <w:jc w:val="both"/>
      </w:pPr>
      <w:r w:rsidRPr="00714F56">
        <w:t xml:space="preserve">  </w:t>
      </w:r>
    </w:p>
    <w:p w:rsidR="00000000" w:rsidRPr="00714F56" w:rsidRDefault="00230235" w:rsidP="00714F56">
      <w:pPr>
        <w:spacing w:line="276" w:lineRule="auto"/>
        <w:jc w:val="both"/>
      </w:pPr>
      <w:r w:rsidRPr="00714F56">
        <w:t xml:space="preserve">Η </w:t>
      </w:r>
      <w:proofErr w:type="spellStart"/>
      <w:r w:rsidRPr="00714F56">
        <w:t>νησ</w:t>
      </w:r>
      <w:r w:rsidRPr="00714F56">
        <w:t>ιωτικότητα</w:t>
      </w:r>
      <w:proofErr w:type="spellEnd"/>
      <w:r w:rsidRPr="00714F56">
        <w:t xml:space="preserve"> και οι ιδιαιτερότητες που την χαρακτηρίζουν δεν είναι ένα επικοινωνιακό εφεύρημα. Δεν έχει καμία σχέση με τους στατιστικούς δημοσιονομικούς δείκτες των ηπειρωτικών περιφερειών. </w:t>
      </w:r>
      <w:proofErr w:type="spellStart"/>
      <w:r w:rsidRPr="00714F56">
        <w:t>Νησιωτικότητα</w:t>
      </w:r>
      <w:proofErr w:type="spellEnd"/>
      <w:r w:rsidRPr="00714F56">
        <w:t xml:space="preserve"> σημαίνει ότι σε κάθε μικρή νησιώτικη κοινωνία πρέπει ν</w:t>
      </w:r>
      <w:r w:rsidRPr="00714F56">
        <w:t>α εκπληρωθεί ο θεμελιώδης όρος των ίσων ευκαιριών και στις χρηματοδοτήσεις.</w:t>
      </w:r>
    </w:p>
    <w:p w:rsidR="00000000" w:rsidRPr="00714F56" w:rsidRDefault="00230235" w:rsidP="00714F56">
      <w:pPr>
        <w:spacing w:line="276" w:lineRule="auto"/>
        <w:jc w:val="both"/>
      </w:pPr>
      <w:r w:rsidRPr="00714F56">
        <w:t> </w:t>
      </w:r>
    </w:p>
    <w:p w:rsidR="00000000" w:rsidRPr="00714F56" w:rsidRDefault="00230235" w:rsidP="00714F56">
      <w:pPr>
        <w:spacing w:line="276" w:lineRule="auto"/>
        <w:jc w:val="both"/>
      </w:pPr>
      <w:r w:rsidRPr="00714F56">
        <w:lastRenderedPageBreak/>
        <w:t>Για να επιτευχθεί αυτό απαιτείται αποκατάσταση της ισονομίας που αποτυπώνεται και εμπεδώνεται μόνον με την αλλαγή στην φιλοσοφία της κατανομής των πόρων ανά περιοχή. </w:t>
      </w:r>
    </w:p>
    <w:p w:rsidR="00000000" w:rsidRPr="00714F56" w:rsidRDefault="00230235" w:rsidP="00714F56">
      <w:pPr>
        <w:spacing w:line="276" w:lineRule="auto"/>
        <w:jc w:val="both"/>
      </w:pPr>
      <w:r w:rsidRPr="00714F56">
        <w:t>Η κάθε περι</w:t>
      </w:r>
      <w:r w:rsidRPr="00714F56">
        <w:t xml:space="preserve">οχή να συμμετέχει στην κατανομή των πόρων με βάση τις ανάγκες της και στο τέλος κάθε περιόδου διαχείρισης να ελέγχεται ο ΣΥΓΚΕΝΤΡΩΤΙΚΟΣ πίνακας κατανομής του συνόλου των πόρων, των Τομεακών </w:t>
      </w:r>
      <w:proofErr w:type="spellStart"/>
      <w:r w:rsidRPr="00714F56">
        <w:t>συμπεριλμαβανομένων</w:t>
      </w:r>
      <w:proofErr w:type="spellEnd"/>
      <w:r w:rsidRPr="00714F56">
        <w:t xml:space="preserve">. </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Με μια απλή παρατήρηση στον πίνακα των Τομε</w:t>
      </w:r>
      <w:r w:rsidRPr="00714F56">
        <w:t xml:space="preserve">ακών </w:t>
      </w:r>
      <w:r w:rsidRPr="00714F56">
        <w:t>Έ</w:t>
      </w:r>
      <w:r w:rsidRPr="00714F56">
        <w:t>ργων αν</w:t>
      </w:r>
      <w:r w:rsidRPr="00714F56">
        <w:t>ά</w:t>
      </w:r>
      <w:r w:rsidRPr="00714F56">
        <w:t xml:space="preserve"> την Ελλάδα, θα οδηγηθεί και ο πλέον κακόπιστος αναγνώστης ότι </w:t>
      </w:r>
      <w:r w:rsidRPr="00714F56">
        <w:rPr>
          <w:u w:val="single"/>
        </w:rPr>
        <w:t>η διαφορά ανάμεσα στην Περιφέρεια Νοτίου Αιγαίου και τις ηπειρωτικές Περιφέρειες της χώρας, δεν είναι σε εκατοντάδες εκατομμύρια αλλά σε δισεκατομμύρια.</w:t>
      </w:r>
      <w:r w:rsidRPr="00714F56">
        <w:t xml:space="preserve"> </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Ισότητα στην κατανομή τω</w:t>
      </w:r>
      <w:r w:rsidRPr="00714F56">
        <w:t xml:space="preserve">ν Τομεακών </w:t>
      </w:r>
      <w:r w:rsidRPr="00714F56">
        <w:t>Έ</w:t>
      </w:r>
      <w:r w:rsidRPr="00714F56">
        <w:t xml:space="preserve">ργων είναι αυτό που μας αναλογεί. </w:t>
      </w:r>
    </w:p>
    <w:p w:rsidR="00000000" w:rsidRPr="00714F56" w:rsidRDefault="00230235" w:rsidP="00714F56">
      <w:pPr>
        <w:spacing w:line="276" w:lineRule="auto"/>
        <w:jc w:val="both"/>
      </w:pPr>
      <w:r w:rsidRPr="00714F56">
        <w:t>Δεν ζητάμε καμία χάρη, δεν ζητάμε καμία εξαίρεση.</w:t>
      </w:r>
    </w:p>
    <w:p w:rsidR="00000000" w:rsidRPr="00714F56" w:rsidRDefault="00230235" w:rsidP="00714F56">
      <w:pPr>
        <w:spacing w:line="276" w:lineRule="auto"/>
        <w:jc w:val="both"/>
      </w:pPr>
      <w:r w:rsidRPr="00714F56">
        <w:t>Τόσο απλό, τόσο δίκαιο, τόσο αυτονόητο.  </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Ισότητα, από μια Πολιτεία που σ’ αυτά τα δύσκολα χρόνια της οικονομικής αιμορραγίας και δυσπραγίας, κρατιέται στη ζω</w:t>
      </w:r>
      <w:r w:rsidRPr="00714F56">
        <w:t xml:space="preserve">ή και από τα έσοδα που φέρνουν τα νησιά μας από τον τουρισμό. </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Το Νότιο Αιγαίο  χρειάζεται την υποστήριξη που θα του επιτρέψει να συνεχίσει όχι μόνο να επιβιώνει σε μια ακόμα δύσκολη περίοδο, αλλά  και να είναι ο διαρκής αιμοδότης της εθνικής οικονομίας.</w:t>
      </w:r>
    </w:p>
    <w:p w:rsidR="00000000" w:rsidRPr="00714F56" w:rsidRDefault="00230235" w:rsidP="00714F56">
      <w:pPr>
        <w:spacing w:line="276" w:lineRule="auto"/>
        <w:jc w:val="both"/>
      </w:pPr>
    </w:p>
    <w:p w:rsidR="00000000" w:rsidRPr="00714F56" w:rsidRDefault="00230235" w:rsidP="00714F56">
      <w:pPr>
        <w:spacing w:line="276" w:lineRule="auto"/>
        <w:jc w:val="both"/>
      </w:pPr>
      <w:r w:rsidRPr="00714F56">
        <w:t xml:space="preserve">Το Νότιο Αιγαίο δεν μπορεί να συνεχίσει να είναι ο φτωχός συγγενής και επαίτης. </w:t>
      </w:r>
    </w:p>
    <w:p w:rsidR="00000000" w:rsidRDefault="00230235">
      <w:pPr>
        <w:rPr>
          <w:b/>
          <w:color w:val="17365D"/>
          <w:sz w:val="22"/>
          <w:szCs w:val="22"/>
        </w:rPr>
      </w:pPr>
    </w:p>
    <w:p w:rsidR="00000000" w:rsidRDefault="00230235" w:rsidP="00714F56">
      <w:pPr>
        <w:rPr>
          <w:b/>
          <w:sz w:val="28"/>
          <w:szCs w:val="28"/>
        </w:rPr>
      </w:pPr>
    </w:p>
    <w:p w:rsidR="00000000" w:rsidRDefault="00230235">
      <w:pPr>
        <w:jc w:val="center"/>
        <w:rPr>
          <w:b/>
        </w:rPr>
      </w:pPr>
      <w:r>
        <w:rPr>
          <w:b/>
        </w:rPr>
        <w:t xml:space="preserve">Κατανομή πόρων </w:t>
      </w:r>
      <w:proofErr w:type="spellStart"/>
      <w:r>
        <w:rPr>
          <w:b/>
        </w:rPr>
        <w:t>ΠΠΑ</w:t>
      </w:r>
      <w:proofErr w:type="spellEnd"/>
      <w:r>
        <w:rPr>
          <w:b/>
        </w:rPr>
        <w:t xml:space="preserve"> 2021-2025 και </w:t>
      </w:r>
      <w:proofErr w:type="spellStart"/>
      <w:r>
        <w:rPr>
          <w:b/>
        </w:rPr>
        <w:t>ΠΕΠ</w:t>
      </w:r>
      <w:proofErr w:type="spellEnd"/>
      <w:r>
        <w:rPr>
          <w:b/>
        </w:rPr>
        <w:t xml:space="preserve"> 2014-2020</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1796"/>
        <w:gridCol w:w="2382"/>
        <w:gridCol w:w="2091"/>
      </w:tblGrid>
      <w:tr w:rsidR="00000000">
        <w:trPr>
          <w:jc w:val="center"/>
        </w:trPr>
        <w:tc>
          <w:tcPr>
            <w:tcW w:w="2907" w:type="dxa"/>
          </w:tcPr>
          <w:p w:rsidR="00000000" w:rsidRDefault="00230235">
            <w:pPr>
              <w:jc w:val="center"/>
              <w:rPr>
                <w:rFonts w:eastAsia="Calibri"/>
                <w:b/>
                <w:sz w:val="22"/>
                <w:szCs w:val="22"/>
              </w:rPr>
            </w:pPr>
            <w:r>
              <w:rPr>
                <w:rFonts w:eastAsia="Calibri"/>
                <w:b/>
                <w:sz w:val="22"/>
                <w:szCs w:val="22"/>
              </w:rPr>
              <w:t>Περιφέρεια</w:t>
            </w:r>
          </w:p>
        </w:tc>
        <w:tc>
          <w:tcPr>
            <w:tcW w:w="1796" w:type="dxa"/>
          </w:tcPr>
          <w:p w:rsidR="00000000" w:rsidRDefault="00230235">
            <w:pPr>
              <w:jc w:val="center"/>
              <w:rPr>
                <w:rFonts w:eastAsia="Calibri"/>
                <w:b/>
                <w:sz w:val="22"/>
                <w:szCs w:val="22"/>
              </w:rPr>
            </w:pPr>
            <w:r>
              <w:rPr>
                <w:rFonts w:eastAsia="Calibri"/>
                <w:b/>
                <w:sz w:val="22"/>
                <w:szCs w:val="22"/>
              </w:rPr>
              <w:t xml:space="preserve">Προϋπολογισμός </w:t>
            </w:r>
            <w:proofErr w:type="spellStart"/>
            <w:r>
              <w:rPr>
                <w:rFonts w:eastAsia="Calibri"/>
                <w:b/>
                <w:sz w:val="22"/>
                <w:szCs w:val="22"/>
              </w:rPr>
              <w:t>ΕΠΑ</w:t>
            </w:r>
            <w:proofErr w:type="spellEnd"/>
            <w:r>
              <w:rPr>
                <w:rFonts w:eastAsia="Calibri"/>
                <w:b/>
                <w:sz w:val="22"/>
                <w:szCs w:val="22"/>
              </w:rPr>
              <w:t xml:space="preserve"> σε εκ. ευρώ</w:t>
            </w:r>
          </w:p>
        </w:tc>
        <w:tc>
          <w:tcPr>
            <w:tcW w:w="2382" w:type="dxa"/>
          </w:tcPr>
          <w:p w:rsidR="00000000" w:rsidRDefault="00230235">
            <w:pPr>
              <w:jc w:val="center"/>
              <w:rPr>
                <w:rFonts w:eastAsia="Calibri"/>
                <w:b/>
                <w:sz w:val="22"/>
                <w:szCs w:val="22"/>
              </w:rPr>
            </w:pPr>
            <w:r>
              <w:rPr>
                <w:rFonts w:eastAsia="Calibri"/>
                <w:b/>
                <w:sz w:val="22"/>
                <w:szCs w:val="22"/>
              </w:rPr>
              <w:t xml:space="preserve">Προϋπολογισμός </w:t>
            </w:r>
            <w:proofErr w:type="spellStart"/>
            <w:r>
              <w:rPr>
                <w:rFonts w:eastAsia="Calibri"/>
                <w:b/>
                <w:sz w:val="22"/>
                <w:szCs w:val="22"/>
              </w:rPr>
              <w:t>ΠΕΠ</w:t>
            </w:r>
            <w:proofErr w:type="spellEnd"/>
            <w:r>
              <w:rPr>
                <w:rFonts w:eastAsia="Calibri"/>
                <w:b/>
                <w:sz w:val="22"/>
                <w:szCs w:val="22"/>
              </w:rPr>
              <w:t xml:space="preserve"> σε εκ. ευρώ</w:t>
            </w:r>
          </w:p>
        </w:tc>
        <w:tc>
          <w:tcPr>
            <w:tcW w:w="2091" w:type="dxa"/>
          </w:tcPr>
          <w:p w:rsidR="00000000" w:rsidRDefault="00230235">
            <w:pPr>
              <w:jc w:val="center"/>
              <w:rPr>
                <w:rFonts w:eastAsia="Calibri"/>
                <w:b/>
                <w:sz w:val="22"/>
                <w:szCs w:val="22"/>
              </w:rPr>
            </w:pPr>
            <w:r>
              <w:rPr>
                <w:rFonts w:eastAsia="Calibri"/>
                <w:b/>
                <w:sz w:val="22"/>
                <w:szCs w:val="22"/>
              </w:rPr>
              <w:t>Άθροισμα ανά Περιφέρεια</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Ανατολικής Μακεδο</w:t>
            </w:r>
            <w:r>
              <w:rPr>
                <w:rFonts w:eastAsia="Calibri"/>
                <w:sz w:val="22"/>
                <w:szCs w:val="22"/>
              </w:rPr>
              <w:t>νίας και Θράκης</w:t>
            </w:r>
          </w:p>
        </w:tc>
        <w:tc>
          <w:tcPr>
            <w:tcW w:w="1796" w:type="dxa"/>
          </w:tcPr>
          <w:p w:rsidR="00000000" w:rsidRDefault="00230235">
            <w:pPr>
              <w:jc w:val="center"/>
              <w:rPr>
                <w:rFonts w:eastAsia="Calibri"/>
                <w:sz w:val="22"/>
                <w:szCs w:val="22"/>
              </w:rPr>
            </w:pPr>
            <w:r>
              <w:rPr>
                <w:rFonts w:eastAsia="Calibri"/>
                <w:sz w:val="22"/>
                <w:szCs w:val="22"/>
              </w:rPr>
              <w:t>145</w:t>
            </w:r>
          </w:p>
        </w:tc>
        <w:tc>
          <w:tcPr>
            <w:tcW w:w="2382" w:type="dxa"/>
          </w:tcPr>
          <w:p w:rsidR="00000000" w:rsidRDefault="00230235">
            <w:pPr>
              <w:jc w:val="center"/>
              <w:rPr>
                <w:rFonts w:eastAsia="Calibri"/>
                <w:sz w:val="22"/>
                <w:szCs w:val="22"/>
              </w:rPr>
            </w:pPr>
            <w:r>
              <w:rPr>
                <w:rFonts w:eastAsia="Calibri"/>
                <w:sz w:val="22"/>
                <w:szCs w:val="22"/>
              </w:rPr>
              <w:t>457</w:t>
            </w:r>
          </w:p>
        </w:tc>
        <w:tc>
          <w:tcPr>
            <w:tcW w:w="2091" w:type="dxa"/>
          </w:tcPr>
          <w:p w:rsidR="00000000" w:rsidRDefault="00230235">
            <w:pPr>
              <w:jc w:val="center"/>
              <w:rPr>
                <w:rFonts w:eastAsia="Calibri"/>
                <w:sz w:val="22"/>
                <w:szCs w:val="22"/>
              </w:rPr>
            </w:pPr>
            <w:r>
              <w:rPr>
                <w:rFonts w:eastAsia="Calibri"/>
                <w:sz w:val="22"/>
                <w:szCs w:val="22"/>
              </w:rPr>
              <w:t>602</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Αττικής</w:t>
            </w:r>
          </w:p>
        </w:tc>
        <w:tc>
          <w:tcPr>
            <w:tcW w:w="1796" w:type="dxa"/>
          </w:tcPr>
          <w:p w:rsidR="00000000" w:rsidRDefault="00230235">
            <w:pPr>
              <w:jc w:val="center"/>
              <w:rPr>
                <w:rFonts w:eastAsia="Calibri"/>
                <w:sz w:val="22"/>
                <w:szCs w:val="22"/>
              </w:rPr>
            </w:pPr>
            <w:r>
              <w:rPr>
                <w:rFonts w:eastAsia="Calibri"/>
                <w:sz w:val="22"/>
                <w:szCs w:val="22"/>
              </w:rPr>
              <w:t>404</w:t>
            </w:r>
          </w:p>
        </w:tc>
        <w:tc>
          <w:tcPr>
            <w:tcW w:w="2382" w:type="dxa"/>
          </w:tcPr>
          <w:p w:rsidR="00000000" w:rsidRDefault="00230235">
            <w:pPr>
              <w:jc w:val="center"/>
              <w:rPr>
                <w:rFonts w:eastAsia="Calibri"/>
                <w:sz w:val="22"/>
                <w:szCs w:val="22"/>
              </w:rPr>
            </w:pPr>
            <w:r>
              <w:rPr>
                <w:rFonts w:eastAsia="Calibri"/>
                <w:sz w:val="22"/>
                <w:szCs w:val="22"/>
              </w:rPr>
              <w:t>1.050</w:t>
            </w:r>
          </w:p>
        </w:tc>
        <w:tc>
          <w:tcPr>
            <w:tcW w:w="2091" w:type="dxa"/>
          </w:tcPr>
          <w:p w:rsidR="00000000" w:rsidRDefault="00230235">
            <w:pPr>
              <w:jc w:val="center"/>
              <w:rPr>
                <w:rFonts w:eastAsia="Calibri"/>
                <w:sz w:val="22"/>
                <w:szCs w:val="22"/>
              </w:rPr>
            </w:pPr>
            <w:r>
              <w:rPr>
                <w:rFonts w:eastAsia="Calibri"/>
                <w:sz w:val="22"/>
                <w:szCs w:val="22"/>
              </w:rPr>
              <w:t>1.454</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Βορείου Αιγαίου</w:t>
            </w:r>
          </w:p>
        </w:tc>
        <w:tc>
          <w:tcPr>
            <w:tcW w:w="1796" w:type="dxa"/>
          </w:tcPr>
          <w:p w:rsidR="00000000" w:rsidRDefault="00230235">
            <w:pPr>
              <w:jc w:val="center"/>
              <w:rPr>
                <w:rFonts w:eastAsia="Calibri"/>
                <w:sz w:val="22"/>
                <w:szCs w:val="22"/>
              </w:rPr>
            </w:pPr>
            <w:r>
              <w:rPr>
                <w:rFonts w:eastAsia="Calibri"/>
                <w:sz w:val="22"/>
                <w:szCs w:val="22"/>
              </w:rPr>
              <w:t>102</w:t>
            </w:r>
          </w:p>
        </w:tc>
        <w:tc>
          <w:tcPr>
            <w:tcW w:w="2382" w:type="dxa"/>
          </w:tcPr>
          <w:p w:rsidR="00000000" w:rsidRDefault="00230235">
            <w:pPr>
              <w:jc w:val="center"/>
              <w:rPr>
                <w:rFonts w:eastAsia="Calibri"/>
                <w:sz w:val="22"/>
                <w:szCs w:val="22"/>
              </w:rPr>
            </w:pPr>
            <w:r>
              <w:rPr>
                <w:rFonts w:eastAsia="Calibri"/>
                <w:sz w:val="22"/>
                <w:szCs w:val="22"/>
              </w:rPr>
              <w:t>269</w:t>
            </w:r>
          </w:p>
        </w:tc>
        <w:tc>
          <w:tcPr>
            <w:tcW w:w="2091" w:type="dxa"/>
          </w:tcPr>
          <w:p w:rsidR="00000000" w:rsidRDefault="00230235">
            <w:pPr>
              <w:jc w:val="center"/>
              <w:rPr>
                <w:rFonts w:eastAsia="Calibri"/>
                <w:sz w:val="22"/>
                <w:szCs w:val="22"/>
              </w:rPr>
            </w:pPr>
            <w:r>
              <w:rPr>
                <w:rFonts w:eastAsia="Calibri"/>
                <w:sz w:val="22"/>
                <w:szCs w:val="22"/>
              </w:rPr>
              <w:t>371</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Δυτικής Ελλάδας</w:t>
            </w:r>
          </w:p>
        </w:tc>
        <w:tc>
          <w:tcPr>
            <w:tcW w:w="1796" w:type="dxa"/>
          </w:tcPr>
          <w:p w:rsidR="00000000" w:rsidRDefault="00230235">
            <w:pPr>
              <w:jc w:val="center"/>
              <w:rPr>
                <w:rFonts w:eastAsia="Calibri"/>
                <w:sz w:val="22"/>
                <w:szCs w:val="22"/>
              </w:rPr>
            </w:pPr>
            <w:r>
              <w:rPr>
                <w:rFonts w:eastAsia="Calibri"/>
                <w:sz w:val="22"/>
                <w:szCs w:val="22"/>
              </w:rPr>
              <w:t>271</w:t>
            </w:r>
          </w:p>
        </w:tc>
        <w:tc>
          <w:tcPr>
            <w:tcW w:w="2382" w:type="dxa"/>
          </w:tcPr>
          <w:p w:rsidR="00000000" w:rsidRDefault="00230235">
            <w:pPr>
              <w:jc w:val="center"/>
              <w:rPr>
                <w:rFonts w:eastAsia="Calibri"/>
                <w:sz w:val="22"/>
                <w:szCs w:val="22"/>
              </w:rPr>
            </w:pPr>
            <w:r>
              <w:rPr>
                <w:rFonts w:eastAsia="Calibri"/>
                <w:sz w:val="22"/>
                <w:szCs w:val="22"/>
              </w:rPr>
              <w:t>449</w:t>
            </w:r>
          </w:p>
        </w:tc>
        <w:tc>
          <w:tcPr>
            <w:tcW w:w="2091" w:type="dxa"/>
          </w:tcPr>
          <w:p w:rsidR="00000000" w:rsidRDefault="00230235">
            <w:pPr>
              <w:jc w:val="center"/>
              <w:rPr>
                <w:rFonts w:eastAsia="Calibri"/>
                <w:sz w:val="22"/>
                <w:szCs w:val="22"/>
              </w:rPr>
            </w:pPr>
            <w:r>
              <w:rPr>
                <w:rFonts w:eastAsia="Calibri"/>
                <w:sz w:val="22"/>
                <w:szCs w:val="22"/>
              </w:rPr>
              <w:t>720</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Δυτικής Μακεδονίας</w:t>
            </w:r>
          </w:p>
        </w:tc>
        <w:tc>
          <w:tcPr>
            <w:tcW w:w="1796" w:type="dxa"/>
          </w:tcPr>
          <w:p w:rsidR="00000000" w:rsidRDefault="00230235">
            <w:pPr>
              <w:jc w:val="center"/>
              <w:rPr>
                <w:rFonts w:eastAsia="Calibri"/>
                <w:sz w:val="22"/>
                <w:szCs w:val="22"/>
              </w:rPr>
            </w:pPr>
            <w:r>
              <w:rPr>
                <w:rFonts w:eastAsia="Calibri"/>
                <w:sz w:val="22"/>
                <w:szCs w:val="22"/>
              </w:rPr>
              <w:t>105</w:t>
            </w:r>
          </w:p>
        </w:tc>
        <w:tc>
          <w:tcPr>
            <w:tcW w:w="2382" w:type="dxa"/>
          </w:tcPr>
          <w:p w:rsidR="00000000" w:rsidRDefault="00230235">
            <w:pPr>
              <w:jc w:val="center"/>
              <w:rPr>
                <w:rFonts w:eastAsia="Calibri"/>
                <w:sz w:val="22"/>
                <w:szCs w:val="22"/>
              </w:rPr>
            </w:pPr>
            <w:r>
              <w:rPr>
                <w:rFonts w:eastAsia="Calibri"/>
                <w:sz w:val="22"/>
                <w:szCs w:val="22"/>
              </w:rPr>
              <w:t>294</w:t>
            </w:r>
          </w:p>
        </w:tc>
        <w:tc>
          <w:tcPr>
            <w:tcW w:w="2091" w:type="dxa"/>
          </w:tcPr>
          <w:p w:rsidR="00000000" w:rsidRDefault="00230235">
            <w:pPr>
              <w:jc w:val="center"/>
              <w:rPr>
                <w:rFonts w:eastAsia="Calibri"/>
                <w:sz w:val="22"/>
                <w:szCs w:val="22"/>
              </w:rPr>
            </w:pPr>
            <w:r>
              <w:rPr>
                <w:rFonts w:eastAsia="Calibri"/>
                <w:sz w:val="22"/>
                <w:szCs w:val="22"/>
              </w:rPr>
              <w:t>399</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Ηπείρου</w:t>
            </w:r>
          </w:p>
        </w:tc>
        <w:tc>
          <w:tcPr>
            <w:tcW w:w="1796" w:type="dxa"/>
          </w:tcPr>
          <w:p w:rsidR="00000000" w:rsidRDefault="00230235">
            <w:pPr>
              <w:jc w:val="center"/>
              <w:rPr>
                <w:rFonts w:eastAsia="Calibri"/>
                <w:sz w:val="22"/>
                <w:szCs w:val="22"/>
              </w:rPr>
            </w:pPr>
            <w:r>
              <w:rPr>
                <w:rFonts w:eastAsia="Calibri"/>
                <w:sz w:val="22"/>
                <w:szCs w:val="22"/>
              </w:rPr>
              <w:t>119</w:t>
            </w:r>
          </w:p>
        </w:tc>
        <w:tc>
          <w:tcPr>
            <w:tcW w:w="2382" w:type="dxa"/>
          </w:tcPr>
          <w:p w:rsidR="00000000" w:rsidRDefault="00230235">
            <w:pPr>
              <w:jc w:val="center"/>
              <w:rPr>
                <w:rFonts w:eastAsia="Calibri"/>
                <w:sz w:val="22"/>
                <w:szCs w:val="22"/>
              </w:rPr>
            </w:pPr>
            <w:r>
              <w:rPr>
                <w:rFonts w:eastAsia="Calibri"/>
                <w:sz w:val="22"/>
                <w:szCs w:val="22"/>
              </w:rPr>
              <w:t>295</w:t>
            </w:r>
          </w:p>
        </w:tc>
        <w:tc>
          <w:tcPr>
            <w:tcW w:w="2091" w:type="dxa"/>
          </w:tcPr>
          <w:p w:rsidR="00000000" w:rsidRDefault="00230235">
            <w:pPr>
              <w:jc w:val="center"/>
              <w:rPr>
                <w:rFonts w:eastAsia="Calibri"/>
                <w:sz w:val="22"/>
                <w:szCs w:val="22"/>
              </w:rPr>
            </w:pPr>
            <w:r>
              <w:rPr>
                <w:rFonts w:eastAsia="Calibri"/>
                <w:sz w:val="22"/>
                <w:szCs w:val="22"/>
              </w:rPr>
              <w:t>414</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Θεσσαλίας</w:t>
            </w:r>
          </w:p>
        </w:tc>
        <w:tc>
          <w:tcPr>
            <w:tcW w:w="1796" w:type="dxa"/>
          </w:tcPr>
          <w:p w:rsidR="00000000" w:rsidRDefault="00230235">
            <w:pPr>
              <w:jc w:val="center"/>
              <w:rPr>
                <w:rFonts w:eastAsia="Calibri"/>
                <w:sz w:val="22"/>
                <w:szCs w:val="22"/>
              </w:rPr>
            </w:pPr>
            <w:r>
              <w:rPr>
                <w:rFonts w:eastAsia="Calibri"/>
                <w:sz w:val="22"/>
                <w:szCs w:val="22"/>
              </w:rPr>
              <w:t>185</w:t>
            </w:r>
          </w:p>
        </w:tc>
        <w:tc>
          <w:tcPr>
            <w:tcW w:w="2382" w:type="dxa"/>
          </w:tcPr>
          <w:p w:rsidR="00000000" w:rsidRDefault="00230235">
            <w:pPr>
              <w:jc w:val="center"/>
              <w:rPr>
                <w:rFonts w:eastAsia="Calibri"/>
                <w:sz w:val="22"/>
                <w:szCs w:val="22"/>
              </w:rPr>
            </w:pPr>
            <w:r>
              <w:rPr>
                <w:rFonts w:eastAsia="Calibri"/>
                <w:sz w:val="22"/>
                <w:szCs w:val="22"/>
              </w:rPr>
              <w:t>377</w:t>
            </w:r>
          </w:p>
        </w:tc>
        <w:tc>
          <w:tcPr>
            <w:tcW w:w="2091" w:type="dxa"/>
          </w:tcPr>
          <w:p w:rsidR="00000000" w:rsidRDefault="00230235">
            <w:pPr>
              <w:jc w:val="center"/>
              <w:rPr>
                <w:rFonts w:eastAsia="Calibri"/>
                <w:sz w:val="22"/>
                <w:szCs w:val="22"/>
              </w:rPr>
            </w:pPr>
            <w:r>
              <w:rPr>
                <w:rFonts w:eastAsia="Calibri"/>
                <w:sz w:val="22"/>
                <w:szCs w:val="22"/>
              </w:rPr>
              <w:t>562</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Ιονίων Νήσων</w:t>
            </w:r>
          </w:p>
        </w:tc>
        <w:tc>
          <w:tcPr>
            <w:tcW w:w="1796" w:type="dxa"/>
          </w:tcPr>
          <w:p w:rsidR="00000000" w:rsidRDefault="00230235">
            <w:pPr>
              <w:jc w:val="center"/>
              <w:rPr>
                <w:rFonts w:eastAsia="Calibri"/>
                <w:sz w:val="22"/>
                <w:szCs w:val="22"/>
              </w:rPr>
            </w:pPr>
            <w:r>
              <w:rPr>
                <w:rFonts w:eastAsia="Calibri"/>
                <w:sz w:val="22"/>
                <w:szCs w:val="22"/>
              </w:rPr>
              <w:t>78</w:t>
            </w:r>
          </w:p>
        </w:tc>
        <w:tc>
          <w:tcPr>
            <w:tcW w:w="2382" w:type="dxa"/>
          </w:tcPr>
          <w:p w:rsidR="00000000" w:rsidRDefault="00230235">
            <w:pPr>
              <w:jc w:val="center"/>
              <w:rPr>
                <w:rFonts w:eastAsia="Calibri"/>
                <w:sz w:val="22"/>
                <w:szCs w:val="22"/>
              </w:rPr>
            </w:pPr>
            <w:r>
              <w:rPr>
                <w:rFonts w:eastAsia="Calibri"/>
                <w:sz w:val="22"/>
                <w:szCs w:val="22"/>
              </w:rPr>
              <w:t>202</w:t>
            </w:r>
          </w:p>
        </w:tc>
        <w:tc>
          <w:tcPr>
            <w:tcW w:w="2091" w:type="dxa"/>
          </w:tcPr>
          <w:p w:rsidR="00000000" w:rsidRDefault="00230235">
            <w:pPr>
              <w:jc w:val="center"/>
              <w:rPr>
                <w:rFonts w:eastAsia="Calibri"/>
                <w:sz w:val="22"/>
                <w:szCs w:val="22"/>
              </w:rPr>
            </w:pPr>
            <w:r>
              <w:rPr>
                <w:rFonts w:eastAsia="Calibri"/>
                <w:sz w:val="22"/>
                <w:szCs w:val="22"/>
              </w:rPr>
              <w:t>280</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Κεντρικής Μακεδονίας</w:t>
            </w:r>
          </w:p>
        </w:tc>
        <w:tc>
          <w:tcPr>
            <w:tcW w:w="1796" w:type="dxa"/>
          </w:tcPr>
          <w:p w:rsidR="00000000" w:rsidRDefault="00230235">
            <w:pPr>
              <w:jc w:val="center"/>
              <w:rPr>
                <w:rFonts w:eastAsia="Calibri"/>
                <w:sz w:val="22"/>
                <w:szCs w:val="22"/>
              </w:rPr>
            </w:pPr>
            <w:r>
              <w:rPr>
                <w:rFonts w:eastAsia="Calibri"/>
                <w:sz w:val="22"/>
                <w:szCs w:val="22"/>
              </w:rPr>
              <w:t>190</w:t>
            </w:r>
          </w:p>
        </w:tc>
        <w:tc>
          <w:tcPr>
            <w:tcW w:w="2382" w:type="dxa"/>
          </w:tcPr>
          <w:p w:rsidR="00000000" w:rsidRDefault="00230235">
            <w:pPr>
              <w:jc w:val="center"/>
              <w:rPr>
                <w:rFonts w:eastAsia="Calibri"/>
                <w:sz w:val="22"/>
                <w:szCs w:val="22"/>
              </w:rPr>
            </w:pPr>
            <w:r>
              <w:rPr>
                <w:rFonts w:eastAsia="Calibri"/>
                <w:sz w:val="22"/>
                <w:szCs w:val="22"/>
              </w:rPr>
              <w:t>895</w:t>
            </w:r>
          </w:p>
        </w:tc>
        <w:tc>
          <w:tcPr>
            <w:tcW w:w="2091" w:type="dxa"/>
          </w:tcPr>
          <w:p w:rsidR="00000000" w:rsidRDefault="00230235">
            <w:pPr>
              <w:jc w:val="center"/>
              <w:rPr>
                <w:rFonts w:eastAsia="Calibri"/>
                <w:sz w:val="22"/>
                <w:szCs w:val="22"/>
              </w:rPr>
            </w:pPr>
            <w:r>
              <w:rPr>
                <w:rFonts w:eastAsia="Calibri"/>
                <w:sz w:val="22"/>
                <w:szCs w:val="22"/>
              </w:rPr>
              <w:t>1.085</w:t>
            </w:r>
          </w:p>
        </w:tc>
      </w:tr>
      <w:tr w:rsidR="00000000">
        <w:trPr>
          <w:trHeight w:val="342"/>
          <w:jc w:val="center"/>
        </w:trPr>
        <w:tc>
          <w:tcPr>
            <w:tcW w:w="2907" w:type="dxa"/>
          </w:tcPr>
          <w:p w:rsidR="00000000" w:rsidRDefault="00230235">
            <w:pPr>
              <w:jc w:val="both"/>
              <w:rPr>
                <w:rFonts w:eastAsia="Calibri"/>
                <w:sz w:val="22"/>
                <w:szCs w:val="22"/>
              </w:rPr>
            </w:pPr>
            <w:r>
              <w:rPr>
                <w:rFonts w:eastAsia="Calibri"/>
                <w:sz w:val="22"/>
                <w:szCs w:val="22"/>
              </w:rPr>
              <w:t>Κρήτης</w:t>
            </w:r>
          </w:p>
        </w:tc>
        <w:tc>
          <w:tcPr>
            <w:tcW w:w="1796" w:type="dxa"/>
          </w:tcPr>
          <w:p w:rsidR="00000000" w:rsidRDefault="00230235">
            <w:pPr>
              <w:jc w:val="center"/>
              <w:rPr>
                <w:rFonts w:eastAsia="Calibri"/>
                <w:sz w:val="22"/>
                <w:szCs w:val="22"/>
              </w:rPr>
            </w:pPr>
            <w:r>
              <w:rPr>
                <w:rFonts w:eastAsia="Calibri"/>
                <w:sz w:val="22"/>
                <w:szCs w:val="22"/>
              </w:rPr>
              <w:t>175</w:t>
            </w:r>
          </w:p>
        </w:tc>
        <w:tc>
          <w:tcPr>
            <w:tcW w:w="2382" w:type="dxa"/>
          </w:tcPr>
          <w:p w:rsidR="00000000" w:rsidRDefault="00230235">
            <w:pPr>
              <w:jc w:val="center"/>
              <w:rPr>
                <w:rFonts w:eastAsia="Calibri"/>
                <w:sz w:val="22"/>
                <w:szCs w:val="22"/>
              </w:rPr>
            </w:pPr>
            <w:r>
              <w:rPr>
                <w:rFonts w:eastAsia="Calibri"/>
                <w:sz w:val="22"/>
                <w:szCs w:val="22"/>
              </w:rPr>
              <w:t>394</w:t>
            </w:r>
          </w:p>
        </w:tc>
        <w:tc>
          <w:tcPr>
            <w:tcW w:w="2091" w:type="dxa"/>
          </w:tcPr>
          <w:p w:rsidR="00000000" w:rsidRDefault="00230235">
            <w:pPr>
              <w:jc w:val="center"/>
              <w:rPr>
                <w:rFonts w:eastAsia="Calibri"/>
                <w:sz w:val="22"/>
                <w:szCs w:val="22"/>
              </w:rPr>
            </w:pPr>
            <w:r>
              <w:rPr>
                <w:rFonts w:eastAsia="Calibri"/>
                <w:sz w:val="22"/>
                <w:szCs w:val="22"/>
              </w:rPr>
              <w:t>569</w:t>
            </w:r>
          </w:p>
        </w:tc>
      </w:tr>
      <w:tr w:rsidR="00000000">
        <w:trPr>
          <w:jc w:val="center"/>
        </w:trPr>
        <w:tc>
          <w:tcPr>
            <w:tcW w:w="2907" w:type="dxa"/>
          </w:tcPr>
          <w:p w:rsidR="00000000" w:rsidRDefault="00230235">
            <w:pPr>
              <w:jc w:val="both"/>
              <w:rPr>
                <w:rFonts w:eastAsia="Calibri"/>
                <w:b/>
                <w:bCs/>
                <w:color w:val="C00000"/>
                <w:sz w:val="22"/>
                <w:szCs w:val="22"/>
              </w:rPr>
            </w:pPr>
            <w:r>
              <w:rPr>
                <w:rFonts w:eastAsia="Calibri"/>
                <w:b/>
                <w:bCs/>
                <w:color w:val="C00000"/>
                <w:sz w:val="22"/>
                <w:szCs w:val="22"/>
              </w:rPr>
              <w:t>Νοτίου Αιγαίου</w:t>
            </w:r>
          </w:p>
        </w:tc>
        <w:tc>
          <w:tcPr>
            <w:tcW w:w="1796" w:type="dxa"/>
          </w:tcPr>
          <w:p w:rsidR="00000000" w:rsidRDefault="00230235">
            <w:pPr>
              <w:jc w:val="center"/>
              <w:rPr>
                <w:rFonts w:eastAsia="Calibri"/>
                <w:b/>
                <w:bCs/>
                <w:color w:val="C00000"/>
                <w:sz w:val="22"/>
                <w:szCs w:val="22"/>
              </w:rPr>
            </w:pPr>
            <w:r>
              <w:rPr>
                <w:rFonts w:eastAsia="Calibri"/>
                <w:b/>
                <w:bCs/>
                <w:color w:val="C00000"/>
                <w:sz w:val="22"/>
                <w:szCs w:val="22"/>
              </w:rPr>
              <w:t>91</w:t>
            </w:r>
          </w:p>
        </w:tc>
        <w:tc>
          <w:tcPr>
            <w:tcW w:w="2382" w:type="dxa"/>
          </w:tcPr>
          <w:p w:rsidR="00000000" w:rsidRDefault="00230235">
            <w:pPr>
              <w:jc w:val="center"/>
              <w:rPr>
                <w:rFonts w:eastAsia="Calibri"/>
                <w:b/>
                <w:bCs/>
                <w:color w:val="C00000"/>
                <w:sz w:val="22"/>
                <w:szCs w:val="22"/>
              </w:rPr>
            </w:pPr>
            <w:r>
              <w:rPr>
                <w:rFonts w:eastAsia="Calibri"/>
                <w:b/>
                <w:bCs/>
                <w:color w:val="C00000"/>
                <w:sz w:val="22"/>
                <w:szCs w:val="22"/>
              </w:rPr>
              <w:t>155</w:t>
            </w:r>
          </w:p>
        </w:tc>
        <w:tc>
          <w:tcPr>
            <w:tcW w:w="2091" w:type="dxa"/>
          </w:tcPr>
          <w:p w:rsidR="00000000" w:rsidRDefault="00230235">
            <w:pPr>
              <w:jc w:val="center"/>
              <w:rPr>
                <w:rFonts w:eastAsia="Calibri"/>
                <w:b/>
                <w:bCs/>
                <w:color w:val="C00000"/>
                <w:sz w:val="22"/>
                <w:szCs w:val="22"/>
              </w:rPr>
            </w:pPr>
            <w:r>
              <w:rPr>
                <w:rFonts w:eastAsia="Calibri"/>
                <w:b/>
                <w:bCs/>
                <w:color w:val="C00000"/>
                <w:sz w:val="22"/>
                <w:szCs w:val="22"/>
              </w:rPr>
              <w:t>246</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Πελοποννήσου</w:t>
            </w:r>
          </w:p>
        </w:tc>
        <w:tc>
          <w:tcPr>
            <w:tcW w:w="1796" w:type="dxa"/>
          </w:tcPr>
          <w:p w:rsidR="00000000" w:rsidRDefault="00230235">
            <w:pPr>
              <w:jc w:val="center"/>
              <w:rPr>
                <w:rFonts w:eastAsia="Calibri"/>
                <w:sz w:val="22"/>
                <w:szCs w:val="22"/>
              </w:rPr>
            </w:pPr>
            <w:r>
              <w:rPr>
                <w:rFonts w:eastAsia="Calibri"/>
                <w:sz w:val="22"/>
                <w:szCs w:val="22"/>
              </w:rPr>
              <w:t>126</w:t>
            </w:r>
          </w:p>
        </w:tc>
        <w:tc>
          <w:tcPr>
            <w:tcW w:w="2382" w:type="dxa"/>
          </w:tcPr>
          <w:p w:rsidR="00000000" w:rsidRDefault="00230235">
            <w:pPr>
              <w:jc w:val="center"/>
              <w:rPr>
                <w:rFonts w:eastAsia="Calibri"/>
                <w:sz w:val="22"/>
                <w:szCs w:val="22"/>
              </w:rPr>
            </w:pPr>
            <w:r>
              <w:rPr>
                <w:rFonts w:eastAsia="Calibri"/>
                <w:sz w:val="22"/>
                <w:szCs w:val="22"/>
              </w:rPr>
              <w:t>255</w:t>
            </w:r>
          </w:p>
        </w:tc>
        <w:tc>
          <w:tcPr>
            <w:tcW w:w="2091" w:type="dxa"/>
          </w:tcPr>
          <w:p w:rsidR="00000000" w:rsidRDefault="00230235">
            <w:pPr>
              <w:jc w:val="center"/>
              <w:rPr>
                <w:rFonts w:eastAsia="Calibri"/>
                <w:sz w:val="22"/>
                <w:szCs w:val="22"/>
              </w:rPr>
            </w:pPr>
            <w:r>
              <w:rPr>
                <w:rFonts w:eastAsia="Calibri"/>
                <w:sz w:val="22"/>
                <w:szCs w:val="22"/>
              </w:rPr>
              <w:t>381</w:t>
            </w:r>
          </w:p>
        </w:tc>
      </w:tr>
      <w:tr w:rsidR="00000000">
        <w:trPr>
          <w:jc w:val="center"/>
        </w:trPr>
        <w:tc>
          <w:tcPr>
            <w:tcW w:w="2907" w:type="dxa"/>
          </w:tcPr>
          <w:p w:rsidR="00000000" w:rsidRDefault="00230235">
            <w:pPr>
              <w:jc w:val="both"/>
              <w:rPr>
                <w:rFonts w:eastAsia="Calibri"/>
                <w:sz w:val="22"/>
                <w:szCs w:val="22"/>
              </w:rPr>
            </w:pPr>
            <w:r>
              <w:rPr>
                <w:rFonts w:eastAsia="Calibri"/>
                <w:sz w:val="22"/>
                <w:szCs w:val="22"/>
              </w:rPr>
              <w:t>Στερεάς Ελλάδας</w:t>
            </w:r>
          </w:p>
        </w:tc>
        <w:tc>
          <w:tcPr>
            <w:tcW w:w="1796" w:type="dxa"/>
          </w:tcPr>
          <w:p w:rsidR="00000000" w:rsidRDefault="00230235">
            <w:pPr>
              <w:jc w:val="center"/>
              <w:rPr>
                <w:rFonts w:eastAsia="Calibri"/>
                <w:sz w:val="22"/>
                <w:szCs w:val="22"/>
              </w:rPr>
            </w:pPr>
            <w:r>
              <w:rPr>
                <w:rFonts w:eastAsia="Calibri"/>
                <w:sz w:val="22"/>
                <w:szCs w:val="22"/>
              </w:rPr>
              <w:t>259</w:t>
            </w:r>
          </w:p>
        </w:tc>
        <w:tc>
          <w:tcPr>
            <w:tcW w:w="2382" w:type="dxa"/>
          </w:tcPr>
          <w:p w:rsidR="00000000" w:rsidRDefault="00230235">
            <w:pPr>
              <w:jc w:val="center"/>
              <w:rPr>
                <w:rFonts w:eastAsia="Calibri"/>
                <w:sz w:val="22"/>
                <w:szCs w:val="22"/>
              </w:rPr>
            </w:pPr>
            <w:r>
              <w:rPr>
                <w:rFonts w:eastAsia="Calibri"/>
                <w:sz w:val="22"/>
                <w:szCs w:val="22"/>
              </w:rPr>
              <w:t>193</w:t>
            </w:r>
          </w:p>
        </w:tc>
        <w:tc>
          <w:tcPr>
            <w:tcW w:w="2091" w:type="dxa"/>
          </w:tcPr>
          <w:p w:rsidR="00000000" w:rsidRDefault="00230235">
            <w:pPr>
              <w:jc w:val="center"/>
              <w:rPr>
                <w:rFonts w:eastAsia="Calibri"/>
                <w:sz w:val="22"/>
                <w:szCs w:val="22"/>
              </w:rPr>
            </w:pPr>
            <w:r>
              <w:rPr>
                <w:rFonts w:eastAsia="Calibri"/>
                <w:sz w:val="22"/>
                <w:szCs w:val="22"/>
              </w:rPr>
              <w:t>452</w:t>
            </w:r>
          </w:p>
        </w:tc>
      </w:tr>
      <w:tr w:rsidR="00000000">
        <w:trPr>
          <w:jc w:val="center"/>
        </w:trPr>
        <w:tc>
          <w:tcPr>
            <w:tcW w:w="2907" w:type="dxa"/>
          </w:tcPr>
          <w:p w:rsidR="00000000" w:rsidRDefault="00230235">
            <w:pPr>
              <w:jc w:val="both"/>
              <w:rPr>
                <w:rFonts w:eastAsia="Calibri"/>
                <w:sz w:val="22"/>
                <w:szCs w:val="22"/>
              </w:rPr>
            </w:pPr>
          </w:p>
        </w:tc>
        <w:tc>
          <w:tcPr>
            <w:tcW w:w="1796" w:type="dxa"/>
          </w:tcPr>
          <w:p w:rsidR="00000000" w:rsidRDefault="00230235">
            <w:pPr>
              <w:jc w:val="center"/>
              <w:rPr>
                <w:rFonts w:eastAsia="Calibri"/>
                <w:sz w:val="22"/>
                <w:szCs w:val="22"/>
              </w:rPr>
            </w:pPr>
          </w:p>
        </w:tc>
        <w:tc>
          <w:tcPr>
            <w:tcW w:w="2382" w:type="dxa"/>
          </w:tcPr>
          <w:p w:rsidR="00000000" w:rsidRDefault="00230235">
            <w:pPr>
              <w:jc w:val="center"/>
              <w:rPr>
                <w:rFonts w:eastAsia="Calibri"/>
                <w:b/>
                <w:sz w:val="22"/>
                <w:szCs w:val="22"/>
              </w:rPr>
            </w:pPr>
            <w:r>
              <w:rPr>
                <w:rFonts w:eastAsia="Calibri"/>
                <w:b/>
                <w:sz w:val="22"/>
                <w:szCs w:val="22"/>
              </w:rPr>
              <w:t>Σύνολο</w:t>
            </w:r>
          </w:p>
        </w:tc>
        <w:tc>
          <w:tcPr>
            <w:tcW w:w="2091" w:type="dxa"/>
          </w:tcPr>
          <w:p w:rsidR="00000000" w:rsidRDefault="00230235">
            <w:pPr>
              <w:jc w:val="center"/>
              <w:rPr>
                <w:rFonts w:eastAsia="Calibri"/>
                <w:b/>
                <w:sz w:val="22"/>
                <w:szCs w:val="22"/>
              </w:rPr>
            </w:pPr>
            <w:r>
              <w:rPr>
                <w:rFonts w:eastAsia="Calibri"/>
                <w:b/>
                <w:sz w:val="22"/>
                <w:szCs w:val="22"/>
                <w:lang w:val="en-US"/>
              </w:rPr>
              <w:t xml:space="preserve">7,53 </w:t>
            </w:r>
            <w:r>
              <w:rPr>
                <w:rFonts w:eastAsia="Calibri"/>
                <w:b/>
                <w:sz w:val="22"/>
                <w:szCs w:val="22"/>
              </w:rPr>
              <w:t>δις</w:t>
            </w:r>
          </w:p>
        </w:tc>
      </w:tr>
    </w:tbl>
    <w:p w:rsidR="00000000" w:rsidRDefault="00230235">
      <w:pPr>
        <w:jc w:val="both"/>
        <w:rPr>
          <w:b/>
          <w:sz w:val="22"/>
          <w:szCs w:val="22"/>
        </w:rPr>
      </w:pPr>
    </w:p>
    <w:p w:rsidR="00714F56" w:rsidRDefault="00714F56">
      <w:pPr>
        <w:jc w:val="center"/>
        <w:rPr>
          <w:b/>
        </w:rPr>
      </w:pPr>
    </w:p>
    <w:p w:rsidR="00714F56" w:rsidRDefault="00714F56">
      <w:pPr>
        <w:jc w:val="center"/>
        <w:rPr>
          <w:b/>
        </w:rPr>
      </w:pPr>
    </w:p>
    <w:p w:rsidR="00000000" w:rsidRDefault="00230235">
      <w:pPr>
        <w:jc w:val="center"/>
        <w:rPr>
          <w:b/>
        </w:rPr>
      </w:pPr>
      <w:r>
        <w:rPr>
          <w:b/>
        </w:rPr>
        <w:t>Παραδείγματα 10 Τομεακών Έργων σε Περιφερειακό Επίπεδο</w:t>
      </w:r>
    </w:p>
    <w:p w:rsidR="00000000" w:rsidRDefault="00230235">
      <w:pPr>
        <w:jc w:val="center"/>
        <w:rPr>
          <w:b/>
        </w:rPr>
      </w:pPr>
    </w:p>
    <w:tbl>
      <w:tblPr>
        <w:tblW w:w="90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529"/>
        <w:gridCol w:w="1796"/>
      </w:tblGrid>
      <w:tr w:rsidR="00000000">
        <w:trPr>
          <w:trHeight w:val="265"/>
          <w:jc w:val="center"/>
        </w:trPr>
        <w:tc>
          <w:tcPr>
            <w:tcW w:w="800" w:type="dxa"/>
          </w:tcPr>
          <w:p w:rsidR="00000000" w:rsidRDefault="00230235">
            <w:pPr>
              <w:jc w:val="center"/>
              <w:rPr>
                <w:rFonts w:eastAsia="Calibri"/>
                <w:b/>
                <w:sz w:val="22"/>
                <w:szCs w:val="22"/>
              </w:rPr>
            </w:pPr>
          </w:p>
        </w:tc>
        <w:tc>
          <w:tcPr>
            <w:tcW w:w="7955" w:type="dxa"/>
          </w:tcPr>
          <w:p w:rsidR="00000000" w:rsidRDefault="00230235">
            <w:pPr>
              <w:jc w:val="center"/>
              <w:rPr>
                <w:rFonts w:eastAsia="Calibri"/>
                <w:b/>
                <w:sz w:val="22"/>
                <w:szCs w:val="22"/>
              </w:rPr>
            </w:pPr>
            <w:r>
              <w:rPr>
                <w:rFonts w:eastAsia="Calibri"/>
                <w:b/>
                <w:sz w:val="22"/>
                <w:szCs w:val="22"/>
              </w:rPr>
              <w:t>Έργο</w:t>
            </w:r>
          </w:p>
        </w:tc>
        <w:tc>
          <w:tcPr>
            <w:tcW w:w="284" w:type="dxa"/>
          </w:tcPr>
          <w:p w:rsidR="00000000" w:rsidRDefault="00230235">
            <w:pPr>
              <w:jc w:val="center"/>
              <w:rPr>
                <w:rFonts w:eastAsia="Calibri"/>
                <w:b/>
                <w:sz w:val="22"/>
                <w:szCs w:val="22"/>
              </w:rPr>
            </w:pPr>
            <w:r>
              <w:rPr>
                <w:rFonts w:eastAsia="Calibri"/>
                <w:b/>
                <w:sz w:val="22"/>
                <w:szCs w:val="22"/>
              </w:rPr>
              <w:t>Προϋπολογισμός σε ευρώ</w:t>
            </w:r>
          </w:p>
        </w:tc>
      </w:tr>
      <w:tr w:rsidR="00000000">
        <w:trPr>
          <w:trHeight w:val="359"/>
          <w:jc w:val="center"/>
        </w:trPr>
        <w:tc>
          <w:tcPr>
            <w:tcW w:w="800" w:type="dxa"/>
          </w:tcPr>
          <w:p w:rsidR="00000000" w:rsidRDefault="00230235">
            <w:pPr>
              <w:rPr>
                <w:rFonts w:eastAsia="Calibri"/>
                <w:sz w:val="22"/>
                <w:szCs w:val="22"/>
                <w:lang w:val="en-US"/>
              </w:rPr>
            </w:pPr>
            <w:r>
              <w:rPr>
                <w:rFonts w:eastAsia="Calibri"/>
                <w:sz w:val="22"/>
                <w:szCs w:val="22"/>
                <w:lang w:val="en-US"/>
              </w:rPr>
              <w:t>1</w:t>
            </w:r>
          </w:p>
        </w:tc>
        <w:tc>
          <w:tcPr>
            <w:tcW w:w="7955" w:type="dxa"/>
          </w:tcPr>
          <w:p w:rsidR="00000000" w:rsidRDefault="00230235">
            <w:pPr>
              <w:rPr>
                <w:rFonts w:eastAsia="Calibri"/>
                <w:sz w:val="22"/>
                <w:szCs w:val="22"/>
              </w:rPr>
            </w:pPr>
            <w:r>
              <w:rPr>
                <w:rFonts w:eastAsia="Calibri"/>
                <w:sz w:val="22"/>
                <w:szCs w:val="22"/>
              </w:rPr>
              <w:t xml:space="preserve">Κατασκευή της </w:t>
            </w:r>
            <w:proofErr w:type="spellStart"/>
            <w:r>
              <w:rPr>
                <w:rFonts w:eastAsia="Calibri"/>
                <w:sz w:val="22"/>
                <w:szCs w:val="22"/>
              </w:rPr>
              <w:t>Ιονίας</w:t>
            </w:r>
            <w:proofErr w:type="spellEnd"/>
            <w:r>
              <w:rPr>
                <w:rFonts w:eastAsia="Calibri"/>
                <w:sz w:val="22"/>
                <w:szCs w:val="22"/>
              </w:rPr>
              <w:t xml:space="preserve"> Οδού (380 </w:t>
            </w:r>
            <w:proofErr w:type="spellStart"/>
            <w:r>
              <w:rPr>
                <w:rFonts w:eastAsia="Calibri"/>
                <w:sz w:val="22"/>
                <w:szCs w:val="22"/>
              </w:rPr>
              <w:t>χλμ</w:t>
            </w:r>
            <w:proofErr w:type="spellEnd"/>
            <w:r>
              <w:rPr>
                <w:rFonts w:eastAsia="Calibri"/>
                <w:sz w:val="22"/>
                <w:szCs w:val="22"/>
              </w:rPr>
              <w:t>)</w:t>
            </w:r>
          </w:p>
        </w:tc>
        <w:tc>
          <w:tcPr>
            <w:tcW w:w="284" w:type="dxa"/>
          </w:tcPr>
          <w:p w:rsidR="00000000" w:rsidRDefault="00230235">
            <w:pPr>
              <w:jc w:val="center"/>
              <w:rPr>
                <w:rFonts w:eastAsia="Calibri"/>
                <w:sz w:val="22"/>
                <w:szCs w:val="22"/>
              </w:rPr>
            </w:pPr>
            <w:r>
              <w:rPr>
                <w:rFonts w:eastAsia="Calibri"/>
                <w:sz w:val="22"/>
                <w:szCs w:val="22"/>
              </w:rPr>
              <w:t>1.9 δις</w:t>
            </w:r>
          </w:p>
        </w:tc>
      </w:tr>
      <w:tr w:rsidR="00000000">
        <w:trPr>
          <w:trHeight w:val="710"/>
          <w:jc w:val="center"/>
        </w:trPr>
        <w:tc>
          <w:tcPr>
            <w:tcW w:w="800" w:type="dxa"/>
          </w:tcPr>
          <w:p w:rsidR="00000000" w:rsidRDefault="00230235">
            <w:pPr>
              <w:rPr>
                <w:rFonts w:eastAsia="Calibri"/>
                <w:sz w:val="22"/>
                <w:szCs w:val="22"/>
                <w:lang w:val="en-US"/>
              </w:rPr>
            </w:pPr>
            <w:r>
              <w:rPr>
                <w:rFonts w:eastAsia="Calibri"/>
                <w:sz w:val="22"/>
                <w:szCs w:val="22"/>
                <w:lang w:val="en-US"/>
              </w:rPr>
              <w:t>2</w:t>
            </w:r>
          </w:p>
        </w:tc>
        <w:tc>
          <w:tcPr>
            <w:tcW w:w="7955" w:type="dxa"/>
          </w:tcPr>
          <w:p w:rsidR="00000000" w:rsidRDefault="00230235">
            <w:pPr>
              <w:rPr>
                <w:rFonts w:eastAsia="Calibri"/>
                <w:sz w:val="22"/>
                <w:szCs w:val="22"/>
              </w:rPr>
            </w:pPr>
            <w:r>
              <w:rPr>
                <w:rFonts w:eastAsia="Calibri"/>
                <w:sz w:val="22"/>
                <w:szCs w:val="22"/>
              </w:rPr>
              <w:t>Μελέτε</w:t>
            </w:r>
            <w:r>
              <w:rPr>
                <w:rFonts w:eastAsia="Calibri"/>
                <w:sz w:val="22"/>
                <w:szCs w:val="22"/>
              </w:rPr>
              <w:t xml:space="preserve">ς και Έργα υλοποίησης του Βόρειου Οδικού Άξονα Κρήτης (310 </w:t>
            </w:r>
            <w:proofErr w:type="spellStart"/>
            <w:r>
              <w:rPr>
                <w:rFonts w:eastAsia="Calibri"/>
                <w:sz w:val="22"/>
                <w:szCs w:val="22"/>
              </w:rPr>
              <w:t>χλμ</w:t>
            </w:r>
            <w:proofErr w:type="spellEnd"/>
            <w:r>
              <w:rPr>
                <w:rFonts w:eastAsia="Calibri"/>
                <w:sz w:val="22"/>
                <w:szCs w:val="22"/>
              </w:rPr>
              <w:t>) – Δημόσια Συμμετοχή 800 εκ</w:t>
            </w:r>
          </w:p>
        </w:tc>
        <w:tc>
          <w:tcPr>
            <w:tcW w:w="284" w:type="dxa"/>
          </w:tcPr>
          <w:p w:rsidR="00000000" w:rsidRDefault="00230235">
            <w:pPr>
              <w:jc w:val="center"/>
              <w:rPr>
                <w:rFonts w:eastAsia="Calibri"/>
                <w:sz w:val="22"/>
                <w:szCs w:val="22"/>
              </w:rPr>
            </w:pPr>
            <w:r>
              <w:rPr>
                <w:rFonts w:eastAsia="Calibri"/>
                <w:sz w:val="22"/>
                <w:szCs w:val="22"/>
              </w:rPr>
              <w:t>1,5 δις</w:t>
            </w:r>
          </w:p>
        </w:tc>
      </w:tr>
      <w:tr w:rsidR="00000000">
        <w:trPr>
          <w:trHeight w:val="529"/>
          <w:jc w:val="center"/>
        </w:trPr>
        <w:tc>
          <w:tcPr>
            <w:tcW w:w="800" w:type="dxa"/>
          </w:tcPr>
          <w:p w:rsidR="00000000" w:rsidRDefault="00230235">
            <w:pPr>
              <w:rPr>
                <w:rFonts w:eastAsia="Calibri"/>
                <w:sz w:val="22"/>
                <w:szCs w:val="22"/>
                <w:lang w:val="en-US"/>
              </w:rPr>
            </w:pPr>
            <w:r>
              <w:rPr>
                <w:rFonts w:eastAsia="Calibri"/>
                <w:sz w:val="22"/>
                <w:szCs w:val="22"/>
                <w:lang w:val="en-US"/>
              </w:rPr>
              <w:t>3</w:t>
            </w:r>
          </w:p>
        </w:tc>
        <w:tc>
          <w:tcPr>
            <w:tcW w:w="7955" w:type="dxa"/>
          </w:tcPr>
          <w:p w:rsidR="00000000" w:rsidRDefault="00230235">
            <w:pPr>
              <w:rPr>
                <w:rFonts w:eastAsia="Calibri"/>
                <w:sz w:val="22"/>
                <w:szCs w:val="22"/>
              </w:rPr>
            </w:pPr>
            <w:r>
              <w:rPr>
                <w:rFonts w:eastAsia="Calibri"/>
                <w:sz w:val="22"/>
                <w:szCs w:val="22"/>
              </w:rPr>
              <w:t xml:space="preserve">Ολυμπία Οδός (205 </w:t>
            </w:r>
            <w:proofErr w:type="spellStart"/>
            <w:r>
              <w:rPr>
                <w:rFonts w:eastAsia="Calibri"/>
                <w:sz w:val="22"/>
                <w:szCs w:val="22"/>
              </w:rPr>
              <w:t>χλμ</w:t>
            </w:r>
            <w:proofErr w:type="spellEnd"/>
            <w:r>
              <w:rPr>
                <w:rFonts w:eastAsia="Calibri"/>
                <w:sz w:val="22"/>
                <w:szCs w:val="22"/>
              </w:rPr>
              <w:t>)</w:t>
            </w:r>
          </w:p>
        </w:tc>
        <w:tc>
          <w:tcPr>
            <w:tcW w:w="284" w:type="dxa"/>
          </w:tcPr>
          <w:p w:rsidR="00000000" w:rsidRDefault="00230235">
            <w:pPr>
              <w:jc w:val="center"/>
              <w:rPr>
                <w:rFonts w:eastAsia="Calibri"/>
                <w:sz w:val="22"/>
                <w:szCs w:val="22"/>
              </w:rPr>
            </w:pPr>
            <w:r>
              <w:rPr>
                <w:rFonts w:eastAsia="Calibri"/>
                <w:sz w:val="22"/>
                <w:szCs w:val="22"/>
              </w:rPr>
              <w:t>1,4 δις</w:t>
            </w:r>
          </w:p>
        </w:tc>
      </w:tr>
      <w:tr w:rsidR="00000000">
        <w:trPr>
          <w:trHeight w:val="529"/>
          <w:jc w:val="center"/>
        </w:trPr>
        <w:tc>
          <w:tcPr>
            <w:tcW w:w="800" w:type="dxa"/>
          </w:tcPr>
          <w:p w:rsidR="00000000" w:rsidRDefault="00230235">
            <w:pPr>
              <w:rPr>
                <w:rFonts w:eastAsia="Calibri"/>
                <w:sz w:val="22"/>
                <w:szCs w:val="22"/>
                <w:lang w:val="en-US"/>
              </w:rPr>
            </w:pPr>
            <w:r>
              <w:rPr>
                <w:rFonts w:eastAsia="Calibri"/>
                <w:sz w:val="22"/>
                <w:szCs w:val="22"/>
                <w:lang w:val="en-US"/>
              </w:rPr>
              <w:t>4</w:t>
            </w:r>
          </w:p>
        </w:tc>
        <w:tc>
          <w:tcPr>
            <w:tcW w:w="7955" w:type="dxa"/>
          </w:tcPr>
          <w:p w:rsidR="00000000" w:rsidRDefault="00230235">
            <w:pPr>
              <w:rPr>
                <w:rFonts w:eastAsia="Calibri"/>
                <w:sz w:val="22"/>
                <w:szCs w:val="22"/>
              </w:rPr>
            </w:pPr>
            <w:r>
              <w:rPr>
                <w:rFonts w:eastAsia="Calibri"/>
                <w:sz w:val="22"/>
                <w:szCs w:val="22"/>
              </w:rPr>
              <w:t>Επεκτάσεις Αττική Οδού</w:t>
            </w:r>
          </w:p>
        </w:tc>
        <w:tc>
          <w:tcPr>
            <w:tcW w:w="284" w:type="dxa"/>
          </w:tcPr>
          <w:p w:rsidR="00000000" w:rsidRDefault="00230235">
            <w:pPr>
              <w:jc w:val="center"/>
              <w:rPr>
                <w:rFonts w:eastAsia="Calibri"/>
                <w:sz w:val="22"/>
                <w:szCs w:val="22"/>
              </w:rPr>
            </w:pPr>
            <w:r>
              <w:rPr>
                <w:rFonts w:eastAsia="Calibri"/>
                <w:sz w:val="22"/>
                <w:szCs w:val="22"/>
              </w:rPr>
              <w:t>1,0 δις</w:t>
            </w:r>
          </w:p>
        </w:tc>
      </w:tr>
      <w:tr w:rsidR="00000000">
        <w:trPr>
          <w:trHeight w:val="745"/>
          <w:jc w:val="center"/>
        </w:trPr>
        <w:tc>
          <w:tcPr>
            <w:tcW w:w="800" w:type="dxa"/>
          </w:tcPr>
          <w:p w:rsidR="00000000" w:rsidRDefault="00230235">
            <w:pPr>
              <w:rPr>
                <w:rFonts w:eastAsia="Calibri"/>
                <w:sz w:val="22"/>
                <w:szCs w:val="22"/>
                <w:lang w:val="en-US"/>
              </w:rPr>
            </w:pPr>
            <w:r>
              <w:rPr>
                <w:rFonts w:eastAsia="Calibri"/>
                <w:sz w:val="22"/>
                <w:szCs w:val="22"/>
                <w:lang w:val="en-US"/>
              </w:rPr>
              <w:t>5</w:t>
            </w:r>
          </w:p>
        </w:tc>
        <w:tc>
          <w:tcPr>
            <w:tcW w:w="7955" w:type="dxa"/>
          </w:tcPr>
          <w:p w:rsidR="00000000" w:rsidRDefault="00230235">
            <w:pPr>
              <w:rPr>
                <w:rFonts w:eastAsia="Calibri"/>
                <w:sz w:val="22"/>
                <w:szCs w:val="22"/>
              </w:rPr>
            </w:pPr>
            <w:r>
              <w:rPr>
                <w:rFonts w:eastAsia="Calibri"/>
                <w:sz w:val="22"/>
                <w:szCs w:val="22"/>
              </w:rPr>
              <w:t xml:space="preserve">Κατασκευή του τμήματος Λαμία - </w:t>
            </w:r>
            <w:proofErr w:type="spellStart"/>
            <w:r>
              <w:rPr>
                <w:rFonts w:eastAsia="Calibri"/>
                <w:sz w:val="22"/>
                <w:szCs w:val="22"/>
              </w:rPr>
              <w:t>Ξυνιάδα</w:t>
            </w:r>
            <w:proofErr w:type="spellEnd"/>
            <w:r>
              <w:rPr>
                <w:rFonts w:eastAsia="Calibri"/>
                <w:sz w:val="22"/>
                <w:szCs w:val="22"/>
              </w:rPr>
              <w:t xml:space="preserve"> του αυτοκινητόδρομου Κεντρικής Ελλάδας (32 </w:t>
            </w:r>
            <w:proofErr w:type="spellStart"/>
            <w:r>
              <w:rPr>
                <w:rFonts w:eastAsia="Calibri"/>
                <w:sz w:val="22"/>
                <w:szCs w:val="22"/>
              </w:rPr>
              <w:t>χλμ</w:t>
            </w:r>
            <w:proofErr w:type="spellEnd"/>
            <w:r>
              <w:rPr>
                <w:rFonts w:eastAsia="Calibri"/>
                <w:sz w:val="22"/>
                <w:szCs w:val="22"/>
              </w:rPr>
              <w:t>)</w:t>
            </w:r>
          </w:p>
        </w:tc>
        <w:tc>
          <w:tcPr>
            <w:tcW w:w="284" w:type="dxa"/>
          </w:tcPr>
          <w:p w:rsidR="00000000" w:rsidRDefault="00230235">
            <w:pPr>
              <w:jc w:val="center"/>
              <w:rPr>
                <w:rFonts w:eastAsia="Calibri"/>
                <w:sz w:val="22"/>
                <w:szCs w:val="22"/>
              </w:rPr>
            </w:pPr>
            <w:r>
              <w:rPr>
                <w:rFonts w:eastAsia="Calibri"/>
                <w:sz w:val="22"/>
                <w:szCs w:val="22"/>
              </w:rPr>
              <w:t>0,9 δις</w:t>
            </w:r>
          </w:p>
        </w:tc>
      </w:tr>
      <w:tr w:rsidR="00000000">
        <w:trPr>
          <w:trHeight w:val="698"/>
          <w:jc w:val="center"/>
        </w:trPr>
        <w:tc>
          <w:tcPr>
            <w:tcW w:w="800" w:type="dxa"/>
          </w:tcPr>
          <w:p w:rsidR="00000000" w:rsidRDefault="00230235">
            <w:pPr>
              <w:rPr>
                <w:rFonts w:eastAsia="Calibri"/>
                <w:sz w:val="22"/>
                <w:szCs w:val="22"/>
                <w:lang w:val="en-US"/>
              </w:rPr>
            </w:pPr>
            <w:r>
              <w:rPr>
                <w:rFonts w:eastAsia="Calibri"/>
                <w:sz w:val="22"/>
                <w:szCs w:val="22"/>
                <w:lang w:val="en-US"/>
              </w:rPr>
              <w:t>6</w:t>
            </w:r>
          </w:p>
        </w:tc>
        <w:tc>
          <w:tcPr>
            <w:tcW w:w="7955" w:type="dxa"/>
          </w:tcPr>
          <w:p w:rsidR="00000000" w:rsidRDefault="00230235">
            <w:pPr>
              <w:rPr>
                <w:rFonts w:eastAsia="Calibri"/>
                <w:sz w:val="22"/>
                <w:szCs w:val="22"/>
              </w:rPr>
            </w:pPr>
            <w:r>
              <w:rPr>
                <w:rFonts w:eastAsia="Calibri"/>
                <w:sz w:val="22"/>
                <w:szCs w:val="22"/>
              </w:rPr>
              <w:t xml:space="preserve">Ανακατασκευή στο «πέταλο» του Μαλιακού </w:t>
            </w:r>
            <w:proofErr w:type="spellStart"/>
            <w:r>
              <w:rPr>
                <w:rFonts w:eastAsia="Calibri"/>
                <w:sz w:val="22"/>
                <w:szCs w:val="22"/>
              </w:rPr>
              <w:t>Αγιος</w:t>
            </w:r>
            <w:proofErr w:type="spellEnd"/>
            <w:r>
              <w:rPr>
                <w:rFonts w:eastAsia="Calibri"/>
                <w:sz w:val="22"/>
                <w:szCs w:val="22"/>
              </w:rPr>
              <w:t xml:space="preserve"> Κωνσταντίνος-Ράχες, (77,2 </w:t>
            </w:r>
            <w:proofErr w:type="spellStart"/>
            <w:r>
              <w:rPr>
                <w:rFonts w:eastAsia="Calibri"/>
                <w:sz w:val="22"/>
                <w:szCs w:val="22"/>
              </w:rPr>
              <w:t>χλμ</w:t>
            </w:r>
            <w:proofErr w:type="spellEnd"/>
            <w:r>
              <w:rPr>
                <w:rFonts w:eastAsia="Calibri"/>
                <w:sz w:val="22"/>
                <w:szCs w:val="22"/>
              </w:rPr>
              <w:t>)</w:t>
            </w:r>
          </w:p>
        </w:tc>
        <w:tc>
          <w:tcPr>
            <w:tcW w:w="284" w:type="dxa"/>
          </w:tcPr>
          <w:p w:rsidR="00000000" w:rsidRDefault="00230235">
            <w:pPr>
              <w:jc w:val="center"/>
              <w:rPr>
                <w:rFonts w:eastAsia="Calibri"/>
                <w:sz w:val="22"/>
                <w:szCs w:val="22"/>
              </w:rPr>
            </w:pPr>
            <w:r>
              <w:rPr>
                <w:rFonts w:eastAsia="Calibri"/>
                <w:sz w:val="22"/>
                <w:szCs w:val="22"/>
              </w:rPr>
              <w:t>820 εκ</w:t>
            </w:r>
          </w:p>
        </w:tc>
      </w:tr>
      <w:tr w:rsidR="00000000">
        <w:trPr>
          <w:trHeight w:val="247"/>
          <w:jc w:val="center"/>
        </w:trPr>
        <w:tc>
          <w:tcPr>
            <w:tcW w:w="800" w:type="dxa"/>
          </w:tcPr>
          <w:p w:rsidR="00000000" w:rsidRDefault="00230235">
            <w:pPr>
              <w:rPr>
                <w:rFonts w:eastAsia="Calibri"/>
                <w:sz w:val="22"/>
                <w:szCs w:val="22"/>
                <w:lang w:val="en-US"/>
              </w:rPr>
            </w:pPr>
            <w:r>
              <w:rPr>
                <w:rFonts w:eastAsia="Calibri"/>
                <w:sz w:val="22"/>
                <w:szCs w:val="22"/>
                <w:lang w:val="en-US"/>
              </w:rPr>
              <w:t>7</w:t>
            </w:r>
          </w:p>
        </w:tc>
        <w:tc>
          <w:tcPr>
            <w:tcW w:w="7955" w:type="dxa"/>
          </w:tcPr>
          <w:p w:rsidR="00000000" w:rsidRDefault="00230235">
            <w:pPr>
              <w:rPr>
                <w:rFonts w:eastAsia="Calibri"/>
                <w:sz w:val="22"/>
                <w:szCs w:val="22"/>
              </w:rPr>
            </w:pPr>
            <w:r>
              <w:rPr>
                <w:rFonts w:eastAsia="Calibri"/>
                <w:sz w:val="22"/>
                <w:szCs w:val="22"/>
              </w:rPr>
              <w:t>Σήραγγες Τεμπών</w:t>
            </w:r>
          </w:p>
        </w:tc>
        <w:tc>
          <w:tcPr>
            <w:tcW w:w="284" w:type="dxa"/>
          </w:tcPr>
          <w:p w:rsidR="00000000" w:rsidRDefault="00230235">
            <w:pPr>
              <w:jc w:val="center"/>
              <w:rPr>
                <w:rFonts w:eastAsia="Calibri"/>
                <w:sz w:val="22"/>
                <w:szCs w:val="22"/>
              </w:rPr>
            </w:pPr>
            <w:r>
              <w:rPr>
                <w:rFonts w:eastAsia="Calibri"/>
                <w:sz w:val="22"/>
                <w:szCs w:val="22"/>
              </w:rPr>
              <w:t>720 εκ</w:t>
            </w:r>
          </w:p>
        </w:tc>
      </w:tr>
      <w:tr w:rsidR="00000000">
        <w:trPr>
          <w:trHeight w:val="436"/>
          <w:jc w:val="center"/>
        </w:trPr>
        <w:tc>
          <w:tcPr>
            <w:tcW w:w="800" w:type="dxa"/>
          </w:tcPr>
          <w:p w:rsidR="00000000" w:rsidRDefault="00230235">
            <w:pPr>
              <w:rPr>
                <w:rFonts w:eastAsia="Calibri"/>
                <w:sz w:val="22"/>
                <w:szCs w:val="22"/>
                <w:lang w:val="en-US"/>
              </w:rPr>
            </w:pPr>
            <w:r>
              <w:rPr>
                <w:rFonts w:eastAsia="Calibri"/>
                <w:sz w:val="22"/>
                <w:szCs w:val="22"/>
                <w:lang w:val="en-US"/>
              </w:rPr>
              <w:t>8</w:t>
            </w:r>
          </w:p>
        </w:tc>
        <w:tc>
          <w:tcPr>
            <w:tcW w:w="7955" w:type="dxa"/>
          </w:tcPr>
          <w:p w:rsidR="00000000" w:rsidRDefault="00230235">
            <w:pPr>
              <w:rPr>
                <w:rFonts w:eastAsia="Calibri"/>
                <w:sz w:val="22"/>
                <w:szCs w:val="22"/>
              </w:rPr>
            </w:pPr>
            <w:r>
              <w:rPr>
                <w:rFonts w:eastAsia="Calibri"/>
                <w:sz w:val="22"/>
                <w:szCs w:val="22"/>
              </w:rPr>
              <w:t xml:space="preserve">Οδική Γέφυρα </w:t>
            </w:r>
            <w:proofErr w:type="spellStart"/>
            <w:r>
              <w:rPr>
                <w:rFonts w:eastAsia="Calibri"/>
                <w:sz w:val="22"/>
                <w:szCs w:val="22"/>
              </w:rPr>
              <w:t>THESSALONIKI</w:t>
            </w:r>
            <w:proofErr w:type="spellEnd"/>
            <w:r>
              <w:rPr>
                <w:rFonts w:eastAsia="Calibri"/>
                <w:sz w:val="22"/>
                <w:szCs w:val="22"/>
              </w:rPr>
              <w:t xml:space="preserve"> </w:t>
            </w:r>
            <w:proofErr w:type="spellStart"/>
            <w:r>
              <w:rPr>
                <w:rFonts w:eastAsia="Calibri"/>
                <w:sz w:val="22"/>
                <w:szCs w:val="22"/>
              </w:rPr>
              <w:t>FLYOVER</w:t>
            </w:r>
            <w:proofErr w:type="spellEnd"/>
          </w:p>
        </w:tc>
        <w:tc>
          <w:tcPr>
            <w:tcW w:w="284" w:type="dxa"/>
          </w:tcPr>
          <w:p w:rsidR="00000000" w:rsidRDefault="00230235">
            <w:pPr>
              <w:jc w:val="center"/>
              <w:rPr>
                <w:rFonts w:eastAsia="Calibri"/>
                <w:sz w:val="22"/>
                <w:szCs w:val="22"/>
              </w:rPr>
            </w:pPr>
            <w:r>
              <w:rPr>
                <w:rFonts w:eastAsia="Calibri"/>
                <w:sz w:val="22"/>
                <w:szCs w:val="22"/>
              </w:rPr>
              <w:t>370 εκ</w:t>
            </w:r>
          </w:p>
        </w:tc>
      </w:tr>
      <w:tr w:rsidR="00000000">
        <w:trPr>
          <w:trHeight w:val="416"/>
          <w:jc w:val="center"/>
        </w:trPr>
        <w:tc>
          <w:tcPr>
            <w:tcW w:w="800" w:type="dxa"/>
          </w:tcPr>
          <w:p w:rsidR="00000000" w:rsidRDefault="00230235">
            <w:pPr>
              <w:rPr>
                <w:rFonts w:eastAsia="Calibri"/>
                <w:sz w:val="22"/>
                <w:szCs w:val="22"/>
                <w:lang w:val="en-US"/>
              </w:rPr>
            </w:pPr>
            <w:r>
              <w:rPr>
                <w:rFonts w:eastAsia="Calibri"/>
                <w:sz w:val="22"/>
                <w:szCs w:val="22"/>
                <w:lang w:val="en-US"/>
              </w:rPr>
              <w:t>9</w:t>
            </w:r>
          </w:p>
        </w:tc>
        <w:tc>
          <w:tcPr>
            <w:tcW w:w="7955" w:type="dxa"/>
          </w:tcPr>
          <w:p w:rsidR="00000000" w:rsidRDefault="00230235">
            <w:pPr>
              <w:rPr>
                <w:rFonts w:eastAsia="Calibri"/>
                <w:sz w:val="22"/>
                <w:szCs w:val="22"/>
              </w:rPr>
            </w:pPr>
            <w:r>
              <w:rPr>
                <w:rFonts w:eastAsia="Calibri"/>
                <w:sz w:val="22"/>
                <w:szCs w:val="22"/>
              </w:rPr>
              <w:t>Κατασκευή του αυτοκινητόδρομου Πάτρα - Πύργος</w:t>
            </w:r>
          </w:p>
        </w:tc>
        <w:tc>
          <w:tcPr>
            <w:tcW w:w="284" w:type="dxa"/>
          </w:tcPr>
          <w:p w:rsidR="00000000" w:rsidRDefault="00230235">
            <w:pPr>
              <w:jc w:val="center"/>
              <w:rPr>
                <w:rFonts w:eastAsia="Calibri"/>
                <w:sz w:val="22"/>
                <w:szCs w:val="22"/>
              </w:rPr>
            </w:pPr>
            <w:r>
              <w:rPr>
                <w:rFonts w:eastAsia="Calibri"/>
                <w:sz w:val="22"/>
                <w:szCs w:val="22"/>
              </w:rPr>
              <w:t>355 εκ</w:t>
            </w:r>
          </w:p>
        </w:tc>
      </w:tr>
      <w:tr w:rsidR="00000000">
        <w:trPr>
          <w:trHeight w:val="422"/>
          <w:jc w:val="center"/>
        </w:trPr>
        <w:tc>
          <w:tcPr>
            <w:tcW w:w="800" w:type="dxa"/>
          </w:tcPr>
          <w:p w:rsidR="00000000" w:rsidRDefault="00230235">
            <w:pPr>
              <w:rPr>
                <w:rFonts w:eastAsia="Calibri"/>
                <w:sz w:val="22"/>
                <w:szCs w:val="22"/>
                <w:lang w:val="en-US"/>
              </w:rPr>
            </w:pPr>
            <w:r>
              <w:rPr>
                <w:rFonts w:eastAsia="Calibri"/>
                <w:sz w:val="22"/>
                <w:szCs w:val="22"/>
                <w:lang w:val="en-US"/>
              </w:rPr>
              <w:t>10</w:t>
            </w:r>
          </w:p>
        </w:tc>
        <w:tc>
          <w:tcPr>
            <w:tcW w:w="7955" w:type="dxa"/>
          </w:tcPr>
          <w:p w:rsidR="00000000" w:rsidRDefault="00230235">
            <w:pPr>
              <w:rPr>
                <w:rFonts w:eastAsia="Calibri"/>
                <w:sz w:val="22"/>
                <w:szCs w:val="22"/>
              </w:rPr>
            </w:pPr>
            <w:r>
              <w:rPr>
                <w:rFonts w:eastAsia="Calibri"/>
                <w:sz w:val="22"/>
                <w:szCs w:val="22"/>
              </w:rPr>
              <w:t>Αυτοκινητόδρομος ΙΩΑΝΝΙΝΑ-ΚΑΚΑΒ</w:t>
            </w:r>
            <w:r>
              <w:rPr>
                <w:rFonts w:eastAsia="Calibri"/>
                <w:sz w:val="22"/>
                <w:szCs w:val="22"/>
              </w:rPr>
              <w:t>ΙΑ</w:t>
            </w:r>
          </w:p>
        </w:tc>
        <w:tc>
          <w:tcPr>
            <w:tcW w:w="284" w:type="dxa"/>
          </w:tcPr>
          <w:p w:rsidR="00000000" w:rsidRDefault="00230235">
            <w:pPr>
              <w:jc w:val="center"/>
              <w:rPr>
                <w:rFonts w:eastAsia="Calibri"/>
                <w:sz w:val="22"/>
                <w:szCs w:val="22"/>
              </w:rPr>
            </w:pPr>
            <w:r>
              <w:rPr>
                <w:rFonts w:eastAsia="Calibri"/>
                <w:sz w:val="22"/>
                <w:szCs w:val="22"/>
              </w:rPr>
              <w:t>340 εκ</w:t>
            </w:r>
          </w:p>
        </w:tc>
      </w:tr>
      <w:tr w:rsidR="00000000">
        <w:trPr>
          <w:trHeight w:val="265"/>
          <w:jc w:val="center"/>
        </w:trPr>
        <w:tc>
          <w:tcPr>
            <w:tcW w:w="800" w:type="dxa"/>
          </w:tcPr>
          <w:p w:rsidR="00000000" w:rsidRDefault="00230235">
            <w:pPr>
              <w:jc w:val="right"/>
              <w:rPr>
                <w:rFonts w:eastAsia="Calibri"/>
                <w:b/>
                <w:sz w:val="22"/>
                <w:szCs w:val="22"/>
              </w:rPr>
            </w:pPr>
          </w:p>
        </w:tc>
        <w:tc>
          <w:tcPr>
            <w:tcW w:w="7955" w:type="dxa"/>
          </w:tcPr>
          <w:p w:rsidR="00000000" w:rsidRDefault="00230235">
            <w:pPr>
              <w:jc w:val="right"/>
              <w:rPr>
                <w:rFonts w:eastAsia="Calibri"/>
                <w:b/>
                <w:sz w:val="22"/>
                <w:szCs w:val="22"/>
              </w:rPr>
            </w:pPr>
            <w:r>
              <w:rPr>
                <w:rFonts w:eastAsia="Calibri"/>
                <w:b/>
                <w:sz w:val="22"/>
                <w:szCs w:val="22"/>
              </w:rPr>
              <w:t>Σύνολο</w:t>
            </w:r>
          </w:p>
        </w:tc>
        <w:tc>
          <w:tcPr>
            <w:tcW w:w="284" w:type="dxa"/>
          </w:tcPr>
          <w:p w:rsidR="00000000" w:rsidRDefault="00230235">
            <w:pPr>
              <w:jc w:val="center"/>
              <w:rPr>
                <w:rFonts w:eastAsia="Calibri"/>
                <w:b/>
                <w:sz w:val="22"/>
                <w:szCs w:val="22"/>
              </w:rPr>
            </w:pPr>
            <w:r>
              <w:rPr>
                <w:rFonts w:eastAsia="Calibri"/>
                <w:b/>
                <w:sz w:val="22"/>
                <w:szCs w:val="22"/>
              </w:rPr>
              <w:t>9,3 δις</w:t>
            </w:r>
          </w:p>
        </w:tc>
      </w:tr>
    </w:tbl>
    <w:p w:rsidR="00000000" w:rsidRDefault="00230235">
      <w:pPr>
        <w:rPr>
          <w:b/>
          <w:color w:val="17365D"/>
          <w:sz w:val="22"/>
          <w:szCs w:val="22"/>
        </w:rPr>
      </w:pPr>
    </w:p>
    <w:p w:rsidR="00000000" w:rsidRDefault="00230235">
      <w:pPr>
        <w:rPr>
          <w:b/>
          <w:color w:val="17365D"/>
          <w:sz w:val="22"/>
          <w:szCs w:val="22"/>
        </w:rPr>
      </w:pPr>
    </w:p>
    <w:p w:rsidR="00000000" w:rsidRDefault="00230235">
      <w:pPr>
        <w:rPr>
          <w:b/>
          <w:color w:val="17365D"/>
          <w:sz w:val="22"/>
          <w:szCs w:val="22"/>
        </w:rPr>
      </w:pPr>
    </w:p>
    <w:p w:rsidR="00000000" w:rsidRDefault="00230235">
      <w:pPr>
        <w:rPr>
          <w:b/>
          <w:color w:val="17365D"/>
          <w:sz w:val="22"/>
          <w:szCs w:val="22"/>
        </w:rPr>
      </w:pPr>
    </w:p>
    <w:p w:rsidR="00000000" w:rsidRDefault="00230235">
      <w:pPr>
        <w:rPr>
          <w:b/>
          <w:color w:val="17365D"/>
          <w:sz w:val="22"/>
          <w:szCs w:val="22"/>
        </w:rPr>
      </w:pPr>
    </w:p>
    <w:p w:rsidR="00000000" w:rsidRDefault="00230235">
      <w:pPr>
        <w:rPr>
          <w:b/>
          <w:color w:val="17365D"/>
          <w:sz w:val="22"/>
          <w:szCs w:val="22"/>
        </w:rPr>
      </w:pPr>
    </w:p>
    <w:p w:rsidR="00000000" w:rsidRDefault="00230235">
      <w:pPr>
        <w:rPr>
          <w:b/>
          <w:color w:val="17365D"/>
          <w:sz w:val="22"/>
          <w:szCs w:val="22"/>
        </w:rPr>
      </w:pPr>
    </w:p>
    <w:p w:rsidR="00230235" w:rsidRDefault="00230235">
      <w:pPr>
        <w:jc w:val="both"/>
        <w:rPr>
          <w:b/>
          <w:color w:val="17365D"/>
          <w:sz w:val="22"/>
          <w:szCs w:val="22"/>
        </w:rPr>
      </w:pPr>
      <w:r>
        <w:rPr>
          <w:b/>
          <w:color w:val="17365D"/>
          <w:sz w:val="22"/>
          <w:szCs w:val="22"/>
        </w:rPr>
        <w:t xml:space="preserve"> </w:t>
      </w:r>
    </w:p>
    <w:sectPr w:rsidR="00230235">
      <w:headerReference w:type="default" r:id="rId6"/>
      <w:footerReference w:type="even" r:id="rId7"/>
      <w:footerReference w:type="default" r:id="rId8"/>
      <w:pgSz w:w="11906" w:h="16838"/>
      <w:pgMar w:top="1079" w:right="926" w:bottom="899" w:left="900" w:header="708" w:footer="708"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0235" w:rsidRDefault="00230235">
      <w:r>
        <w:separator/>
      </w:r>
    </w:p>
  </w:endnote>
  <w:endnote w:type="continuationSeparator" w:id="0">
    <w:p w:rsidR="00230235" w:rsidRDefault="0023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230235">
    <w:pPr>
      <w:pStyle w:val="a9"/>
      <w:framePr w:wrap="around" w:hAnchor="text" w:xAlign="right" w:y="1"/>
      <w:rPr>
        <w:rStyle w:val="a4"/>
      </w:rPr>
    </w:pPr>
    <w:r>
      <w:fldChar w:fldCharType="begin"/>
    </w:r>
    <w:r>
      <w:rPr>
        <w:rStyle w:val="a4"/>
      </w:rPr>
      <w:instrText xml:space="preserve">PAGE  </w:instrText>
    </w:r>
    <w:r>
      <w:fldChar w:fldCharType="end"/>
    </w:r>
  </w:p>
  <w:p w:rsidR="00000000" w:rsidRDefault="0023023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230235">
    <w:pPr>
      <w:pStyle w:val="a9"/>
      <w:framePr w:h="707" w:hRule="exact" w:wrap="around" w:hAnchor="text" w:xAlign="right" w:y="-434"/>
      <w:rPr>
        <w:rStyle w:val="a4"/>
        <w:lang w:val="en-US"/>
      </w:rPr>
    </w:pPr>
  </w:p>
  <w:p w:rsidR="00000000" w:rsidRDefault="00230235">
    <w:pPr>
      <w:pStyle w:val="a9"/>
      <w:framePr w:h="707" w:hRule="exact" w:wrap="around" w:hAnchor="text" w:xAlign="right" w:y="-434"/>
      <w:ind w:right="360"/>
      <w:rPr>
        <w:rStyle w:val="a4"/>
      </w:rPr>
    </w:pPr>
  </w:p>
  <w:p w:rsidR="00000000" w:rsidRDefault="00230235">
    <w:pPr>
      <w:pStyle w:val="a9"/>
      <w:framePr w:h="707" w:hRule="exact" w:wrap="around" w:hAnchor="text" w:xAlign="right" w:y="-434"/>
      <w:rPr>
        <w:rStyle w:val="a4"/>
        <w:lang w:val="en-US"/>
      </w:rPr>
    </w:pPr>
  </w:p>
  <w:p w:rsidR="00000000" w:rsidRDefault="00230235">
    <w:pPr>
      <w:pStyle w:val="a9"/>
      <w:framePr w:h="707" w:hRule="exact" w:wrap="around" w:hAnchor="text" w:xAlign="right" w:y="-434"/>
      <w:rPr>
        <w:rStyle w:val="a4"/>
        <w:lang w:val="en-US"/>
      </w:rPr>
    </w:pPr>
  </w:p>
  <w:p w:rsidR="00000000" w:rsidRDefault="00230235">
    <w:pPr>
      <w:pStyle w:val="a9"/>
      <w:framePr w:h="707" w:hRule="exact" w:wrap="around" w:hAnchor="text" w:xAlign="right" w:y="-434"/>
      <w:ind w:right="360"/>
      <w:rPr>
        <w:rStyle w:val="a4"/>
        <w:lang w:val="en-US"/>
      </w:rPr>
    </w:pPr>
  </w:p>
  <w:p w:rsidR="00000000" w:rsidRDefault="00230235">
    <w:pPr>
      <w:pBdr>
        <w:bottom w:val="single" w:sz="12" w:space="0" w:color="auto"/>
      </w:pBdr>
      <w:ind w:right="360"/>
      <w:rPr>
        <w:color w:val="808080"/>
        <w:sz w:val="22"/>
        <w:szCs w:val="22"/>
      </w:rPr>
    </w:pPr>
  </w:p>
  <w:p w:rsidR="00000000" w:rsidRDefault="00230235">
    <w:pPr>
      <w:rPr>
        <w:color w:val="808080"/>
        <w:sz w:val="22"/>
        <w:szCs w:val="22"/>
      </w:rPr>
    </w:pPr>
  </w:p>
  <w:p w:rsidR="00000000" w:rsidRDefault="00230235">
    <w:pPr>
      <w:jc w:val="center"/>
      <w:rPr>
        <w:color w:val="808080"/>
        <w:sz w:val="22"/>
        <w:szCs w:val="22"/>
      </w:rPr>
    </w:pPr>
    <w:r>
      <w:rPr>
        <w:color w:val="808080"/>
        <w:sz w:val="22"/>
        <w:szCs w:val="22"/>
      </w:rPr>
      <w:t xml:space="preserve">Επτανήσου 35, Ερμούπολη, Σύρος 84100 - </w:t>
    </w:r>
    <w:proofErr w:type="spellStart"/>
    <w:r>
      <w:rPr>
        <w:color w:val="808080"/>
        <w:sz w:val="22"/>
        <w:szCs w:val="22"/>
      </w:rPr>
      <w:t>τηλ</w:t>
    </w:r>
    <w:proofErr w:type="spellEnd"/>
    <w:r>
      <w:rPr>
        <w:color w:val="808080"/>
        <w:sz w:val="22"/>
        <w:szCs w:val="22"/>
      </w:rPr>
      <w:t>. 22813.61500, φαξ: 22810.82376</w:t>
    </w:r>
  </w:p>
  <w:p w:rsidR="00000000" w:rsidRDefault="00230235">
    <w:pPr>
      <w:jc w:val="center"/>
      <w:rPr>
        <w:color w:val="808080"/>
        <w:sz w:val="22"/>
        <w:szCs w:val="22"/>
      </w:rPr>
    </w:pPr>
    <w:r>
      <w:rPr>
        <w:color w:val="808080"/>
        <w:sz w:val="22"/>
        <w:szCs w:val="22"/>
      </w:rPr>
      <w:t>Πλατ</w:t>
    </w:r>
    <w:r>
      <w:rPr>
        <w:color w:val="808080"/>
        <w:sz w:val="22"/>
        <w:szCs w:val="22"/>
      </w:rPr>
      <w:t xml:space="preserve">εία Ελευθερίας, Ρόδος 85100 – </w:t>
    </w:r>
    <w:proofErr w:type="spellStart"/>
    <w:r>
      <w:rPr>
        <w:color w:val="808080"/>
        <w:sz w:val="22"/>
        <w:szCs w:val="22"/>
      </w:rPr>
      <w:t>τηλ</w:t>
    </w:r>
    <w:proofErr w:type="spellEnd"/>
    <w:r>
      <w:rPr>
        <w:color w:val="808080"/>
        <w:sz w:val="22"/>
        <w:szCs w:val="22"/>
      </w:rPr>
      <w:t>. 22413.60502-3, φαξ: 22413-60531</w:t>
    </w:r>
  </w:p>
  <w:p w:rsidR="00000000" w:rsidRDefault="00230235">
    <w:pPr>
      <w:pStyle w:val="a9"/>
      <w:ind w:right="360"/>
      <w:jc w:val="center"/>
      <w:rPr>
        <w:lang w:val="en-GB"/>
      </w:rPr>
    </w:pPr>
    <w:r>
      <w:rPr>
        <w:color w:val="808080"/>
        <w:sz w:val="22"/>
        <w:szCs w:val="22"/>
        <w:u w:val="single"/>
        <w:lang w:val="en-US"/>
      </w:rPr>
      <w:t>email</w:t>
    </w:r>
    <w:r>
      <w:rPr>
        <w:color w:val="808080"/>
        <w:sz w:val="22"/>
        <w:szCs w:val="22"/>
        <w:u w:val="single"/>
        <w:lang w:val="en-GB"/>
      </w:rPr>
      <w:t xml:space="preserve">: </w:t>
    </w:r>
    <w:proofErr w:type="spellStart"/>
    <w:r>
      <w:rPr>
        <w:b/>
        <w:color w:val="000080"/>
        <w:sz w:val="22"/>
        <w:szCs w:val="22"/>
        <w:u w:val="single"/>
        <w:lang w:val="en-US"/>
      </w:rPr>
      <w:t>g.hatzimarkos</w:t>
    </w:r>
    <w:proofErr w:type="spellEnd"/>
    <w:r>
      <w:rPr>
        <w:b/>
        <w:color w:val="000080"/>
        <w:sz w:val="22"/>
        <w:szCs w:val="22"/>
        <w:u w:val="single"/>
        <w:lang w:val="en-GB"/>
      </w:rPr>
      <w:t>@</w:t>
    </w:r>
    <w:proofErr w:type="spellStart"/>
    <w:r>
      <w:rPr>
        <w:b/>
        <w:color w:val="000080"/>
        <w:sz w:val="22"/>
        <w:szCs w:val="22"/>
        <w:u w:val="single"/>
        <w:lang w:val="en-US"/>
      </w:rPr>
      <w:t>pnai</w:t>
    </w:r>
    <w:proofErr w:type="spellEnd"/>
    <w:r>
      <w:rPr>
        <w:b/>
        <w:color w:val="000080"/>
        <w:sz w:val="22"/>
        <w:szCs w:val="22"/>
        <w:u w:val="single"/>
        <w:lang w:val="en-GB"/>
      </w:rPr>
      <w:t>.</w:t>
    </w:r>
    <w:r>
      <w:rPr>
        <w:b/>
        <w:color w:val="000080"/>
        <w:sz w:val="22"/>
        <w:szCs w:val="22"/>
        <w:u w:val="single"/>
        <w:lang w:val="en-US"/>
      </w:rPr>
      <w:t>gov</w:t>
    </w:r>
    <w:r>
      <w:rPr>
        <w:b/>
        <w:color w:val="000080"/>
        <w:sz w:val="22"/>
        <w:szCs w:val="22"/>
        <w:u w:val="single"/>
        <w:lang w:val="en-GB"/>
      </w:rPr>
      <w:t>.</w:t>
    </w:r>
    <w:r>
      <w:rPr>
        <w:b/>
        <w:color w:val="000080"/>
        <w:sz w:val="22"/>
        <w:szCs w:val="22"/>
        <w:u w:val="single"/>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0235" w:rsidRDefault="00230235">
      <w:r>
        <w:separator/>
      </w:r>
    </w:p>
  </w:footnote>
  <w:footnote w:type="continuationSeparator" w:id="0">
    <w:p w:rsidR="00230235" w:rsidRDefault="0023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230235">
    <w:pPr>
      <w:pStyle w:val="1"/>
    </w:pPr>
    <w:r>
      <w:rPr>
        <w:b w:val="0"/>
      </w:rPr>
      <w:t xml:space="preserve">                                                         </w:t>
    </w:r>
    <w:r>
      <w:rPr>
        <w:b w:val="0"/>
        <w:lang w:val="en-US"/>
      </w:rPr>
      <w:t xml:space="preserve">               </w:t>
    </w:r>
    <w:r>
      <w:rPr>
        <w:b w:val="0"/>
      </w:rPr>
      <w:t xml:space="preserve">  </w:t>
    </w:r>
    <w:r w:rsidR="00714F56">
      <w:rPr>
        <w:b w:val="0"/>
        <w:noProof/>
        <w:lang w:val="en-US" w:eastAsia="en-US"/>
      </w:rPr>
      <w:drawing>
        <wp:inline distT="0" distB="0" distL="0" distR="0">
          <wp:extent cx="586105" cy="57023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05" cy="570230"/>
                  </a:xfrm>
                  <a:prstGeom prst="rect">
                    <a:avLst/>
                  </a:prstGeom>
                  <a:noFill/>
                  <a:ln>
                    <a:noFill/>
                  </a:ln>
                </pic:spPr>
              </pic:pic>
            </a:graphicData>
          </a:graphic>
        </wp:inline>
      </w:drawing>
    </w:r>
  </w:p>
  <w:p w:rsidR="00000000" w:rsidRDefault="00230235">
    <w:pPr>
      <w:jc w:val="center"/>
      <w:rPr>
        <w:b/>
        <w:color w:val="000080"/>
        <w:sz w:val="22"/>
        <w:szCs w:val="22"/>
      </w:rPr>
    </w:pPr>
    <w:r>
      <w:rPr>
        <w:b/>
        <w:color w:val="000080"/>
        <w:sz w:val="22"/>
        <w:szCs w:val="22"/>
      </w:rPr>
      <w:t>ΕΛΛΗΝΙΚΗ ΔΗΜΟΚΡΑΤΙΑ</w:t>
    </w:r>
  </w:p>
  <w:p w:rsidR="00000000" w:rsidRDefault="00230235">
    <w:pPr>
      <w:pStyle w:val="1"/>
      <w:jc w:val="center"/>
      <w:rPr>
        <w:rFonts w:ascii="Book Antiqua" w:hAnsi="Book Antiqua"/>
        <w:color w:val="000080"/>
        <w:sz w:val="20"/>
        <w:szCs w:val="20"/>
      </w:rPr>
    </w:pPr>
    <w:r>
      <w:rPr>
        <w:color w:val="000080"/>
      </w:rPr>
      <w:t>ΠΕΡΙΦΕΡΕΙΑ ΝΟΤΙΟΥ ΑΙΓΑΙΟΥ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57"/>
    <w:rsid w:val="00000117"/>
    <w:rsid w:val="00001557"/>
    <w:rsid w:val="000066F8"/>
    <w:rsid w:val="0001085D"/>
    <w:rsid w:val="000109A5"/>
    <w:rsid w:val="0001268A"/>
    <w:rsid w:val="00016BBD"/>
    <w:rsid w:val="00020019"/>
    <w:rsid w:val="00022D92"/>
    <w:rsid w:val="00025469"/>
    <w:rsid w:val="00027B0F"/>
    <w:rsid w:val="000326AD"/>
    <w:rsid w:val="000341A7"/>
    <w:rsid w:val="00035A11"/>
    <w:rsid w:val="00050530"/>
    <w:rsid w:val="000517E9"/>
    <w:rsid w:val="000542BD"/>
    <w:rsid w:val="000552DF"/>
    <w:rsid w:val="00055813"/>
    <w:rsid w:val="00055C93"/>
    <w:rsid w:val="00056E3F"/>
    <w:rsid w:val="00060FDF"/>
    <w:rsid w:val="0006221D"/>
    <w:rsid w:val="000654D7"/>
    <w:rsid w:val="00065B92"/>
    <w:rsid w:val="00065BBA"/>
    <w:rsid w:val="00066123"/>
    <w:rsid w:val="00067AE8"/>
    <w:rsid w:val="00073C48"/>
    <w:rsid w:val="00074BCA"/>
    <w:rsid w:val="000754CF"/>
    <w:rsid w:val="00081D7A"/>
    <w:rsid w:val="000820B6"/>
    <w:rsid w:val="00087E05"/>
    <w:rsid w:val="000900B8"/>
    <w:rsid w:val="000923AC"/>
    <w:rsid w:val="00092CD9"/>
    <w:rsid w:val="000961E0"/>
    <w:rsid w:val="0009779E"/>
    <w:rsid w:val="000978D4"/>
    <w:rsid w:val="000A1E55"/>
    <w:rsid w:val="000A414E"/>
    <w:rsid w:val="000A49E1"/>
    <w:rsid w:val="000A514A"/>
    <w:rsid w:val="000A5E45"/>
    <w:rsid w:val="000B0A3B"/>
    <w:rsid w:val="000B127F"/>
    <w:rsid w:val="000B2583"/>
    <w:rsid w:val="000B6FBB"/>
    <w:rsid w:val="000C3B15"/>
    <w:rsid w:val="000D204E"/>
    <w:rsid w:val="000D3FE6"/>
    <w:rsid w:val="000D4EF7"/>
    <w:rsid w:val="000D7DDC"/>
    <w:rsid w:val="000E001E"/>
    <w:rsid w:val="000E1B26"/>
    <w:rsid w:val="000E5DE9"/>
    <w:rsid w:val="000E6407"/>
    <w:rsid w:val="000E7D53"/>
    <w:rsid w:val="000F0040"/>
    <w:rsid w:val="000F32ED"/>
    <w:rsid w:val="000F4252"/>
    <w:rsid w:val="0010348E"/>
    <w:rsid w:val="00104495"/>
    <w:rsid w:val="00106267"/>
    <w:rsid w:val="0010695A"/>
    <w:rsid w:val="00112C5F"/>
    <w:rsid w:val="001208F0"/>
    <w:rsid w:val="001224A2"/>
    <w:rsid w:val="001227DB"/>
    <w:rsid w:val="001228A4"/>
    <w:rsid w:val="0013273C"/>
    <w:rsid w:val="00134308"/>
    <w:rsid w:val="001343F7"/>
    <w:rsid w:val="0014596F"/>
    <w:rsid w:val="00156029"/>
    <w:rsid w:val="0016013F"/>
    <w:rsid w:val="0016107C"/>
    <w:rsid w:val="0016113F"/>
    <w:rsid w:val="00162A7F"/>
    <w:rsid w:val="0016536C"/>
    <w:rsid w:val="00170C7C"/>
    <w:rsid w:val="00170E15"/>
    <w:rsid w:val="001710BB"/>
    <w:rsid w:val="00176712"/>
    <w:rsid w:val="0017795E"/>
    <w:rsid w:val="00181FA0"/>
    <w:rsid w:val="0019016C"/>
    <w:rsid w:val="001957C7"/>
    <w:rsid w:val="0019615F"/>
    <w:rsid w:val="001A0B5D"/>
    <w:rsid w:val="001A38FC"/>
    <w:rsid w:val="001A70E2"/>
    <w:rsid w:val="001B0314"/>
    <w:rsid w:val="001B2AB9"/>
    <w:rsid w:val="001B3928"/>
    <w:rsid w:val="001B7A0D"/>
    <w:rsid w:val="001C2365"/>
    <w:rsid w:val="001C308B"/>
    <w:rsid w:val="001C7058"/>
    <w:rsid w:val="001C71C2"/>
    <w:rsid w:val="001C7482"/>
    <w:rsid w:val="001D2EF4"/>
    <w:rsid w:val="001D33AE"/>
    <w:rsid w:val="001E69E5"/>
    <w:rsid w:val="001F3208"/>
    <w:rsid w:val="00201600"/>
    <w:rsid w:val="00206438"/>
    <w:rsid w:val="00212047"/>
    <w:rsid w:val="002154D4"/>
    <w:rsid w:val="00216462"/>
    <w:rsid w:val="00217317"/>
    <w:rsid w:val="00220D78"/>
    <w:rsid w:val="00220D83"/>
    <w:rsid w:val="00220EC7"/>
    <w:rsid w:val="002258BA"/>
    <w:rsid w:val="00230235"/>
    <w:rsid w:val="00231FCD"/>
    <w:rsid w:val="0024329A"/>
    <w:rsid w:val="00243718"/>
    <w:rsid w:val="00250ECB"/>
    <w:rsid w:val="00253BE4"/>
    <w:rsid w:val="00254A8E"/>
    <w:rsid w:val="00255E70"/>
    <w:rsid w:val="002560AA"/>
    <w:rsid w:val="00256CB2"/>
    <w:rsid w:val="0025701D"/>
    <w:rsid w:val="00261EC4"/>
    <w:rsid w:val="00264B89"/>
    <w:rsid w:val="00271681"/>
    <w:rsid w:val="0027381C"/>
    <w:rsid w:val="00275ED9"/>
    <w:rsid w:val="00281E0D"/>
    <w:rsid w:val="00285C66"/>
    <w:rsid w:val="0029087E"/>
    <w:rsid w:val="00290B0C"/>
    <w:rsid w:val="00291A9E"/>
    <w:rsid w:val="00293909"/>
    <w:rsid w:val="00293B14"/>
    <w:rsid w:val="002A1A88"/>
    <w:rsid w:val="002A23FF"/>
    <w:rsid w:val="002A24F8"/>
    <w:rsid w:val="002A2919"/>
    <w:rsid w:val="002A3535"/>
    <w:rsid w:val="002A3B9C"/>
    <w:rsid w:val="002A5123"/>
    <w:rsid w:val="002A57EE"/>
    <w:rsid w:val="002A6A7F"/>
    <w:rsid w:val="002B0E98"/>
    <w:rsid w:val="002C0130"/>
    <w:rsid w:val="002C1434"/>
    <w:rsid w:val="002C26C3"/>
    <w:rsid w:val="002C31A8"/>
    <w:rsid w:val="002C468F"/>
    <w:rsid w:val="002C4F02"/>
    <w:rsid w:val="002D3C32"/>
    <w:rsid w:val="002E499C"/>
    <w:rsid w:val="002E6AD9"/>
    <w:rsid w:val="0030631A"/>
    <w:rsid w:val="0031078E"/>
    <w:rsid w:val="00316E05"/>
    <w:rsid w:val="00317758"/>
    <w:rsid w:val="00322B22"/>
    <w:rsid w:val="00323F27"/>
    <w:rsid w:val="003333E5"/>
    <w:rsid w:val="0033427E"/>
    <w:rsid w:val="00335C2D"/>
    <w:rsid w:val="00335EFA"/>
    <w:rsid w:val="0034227E"/>
    <w:rsid w:val="00346E8A"/>
    <w:rsid w:val="00347E3D"/>
    <w:rsid w:val="00352B79"/>
    <w:rsid w:val="00352B7A"/>
    <w:rsid w:val="0035358B"/>
    <w:rsid w:val="00353EB2"/>
    <w:rsid w:val="00354938"/>
    <w:rsid w:val="00360C80"/>
    <w:rsid w:val="003610E5"/>
    <w:rsid w:val="003621FE"/>
    <w:rsid w:val="003622CB"/>
    <w:rsid w:val="00362602"/>
    <w:rsid w:val="00362FB4"/>
    <w:rsid w:val="003766AA"/>
    <w:rsid w:val="00376F43"/>
    <w:rsid w:val="00386050"/>
    <w:rsid w:val="00390A45"/>
    <w:rsid w:val="00392C0D"/>
    <w:rsid w:val="00394BB9"/>
    <w:rsid w:val="003A0F94"/>
    <w:rsid w:val="003B31F7"/>
    <w:rsid w:val="003B4518"/>
    <w:rsid w:val="003C2447"/>
    <w:rsid w:val="003C3AB8"/>
    <w:rsid w:val="003C65F2"/>
    <w:rsid w:val="003D4A9B"/>
    <w:rsid w:val="003D53A9"/>
    <w:rsid w:val="003E12A2"/>
    <w:rsid w:val="003E3653"/>
    <w:rsid w:val="003E3C63"/>
    <w:rsid w:val="003E5F96"/>
    <w:rsid w:val="003E776A"/>
    <w:rsid w:val="003F210F"/>
    <w:rsid w:val="003F5205"/>
    <w:rsid w:val="003F5796"/>
    <w:rsid w:val="003F651A"/>
    <w:rsid w:val="004008B6"/>
    <w:rsid w:val="00401D5C"/>
    <w:rsid w:val="00405ACB"/>
    <w:rsid w:val="004156E9"/>
    <w:rsid w:val="004165AF"/>
    <w:rsid w:val="004165CE"/>
    <w:rsid w:val="00417276"/>
    <w:rsid w:val="004206AF"/>
    <w:rsid w:val="00423DA4"/>
    <w:rsid w:val="00425890"/>
    <w:rsid w:val="00425985"/>
    <w:rsid w:val="00427843"/>
    <w:rsid w:val="004330A6"/>
    <w:rsid w:val="004340D9"/>
    <w:rsid w:val="00435B86"/>
    <w:rsid w:val="00440448"/>
    <w:rsid w:val="0044147C"/>
    <w:rsid w:val="004440E4"/>
    <w:rsid w:val="00444234"/>
    <w:rsid w:val="0044558E"/>
    <w:rsid w:val="00446CD6"/>
    <w:rsid w:val="00450004"/>
    <w:rsid w:val="00460A6B"/>
    <w:rsid w:val="004648C2"/>
    <w:rsid w:val="00465F50"/>
    <w:rsid w:val="00466B3D"/>
    <w:rsid w:val="004715E3"/>
    <w:rsid w:val="00471B11"/>
    <w:rsid w:val="00473A9B"/>
    <w:rsid w:val="00475B58"/>
    <w:rsid w:val="00476713"/>
    <w:rsid w:val="00484CF9"/>
    <w:rsid w:val="00486C9C"/>
    <w:rsid w:val="00493C56"/>
    <w:rsid w:val="00494CA5"/>
    <w:rsid w:val="004954AE"/>
    <w:rsid w:val="004A0AC6"/>
    <w:rsid w:val="004A0AE9"/>
    <w:rsid w:val="004A6B06"/>
    <w:rsid w:val="004B000E"/>
    <w:rsid w:val="004B0B60"/>
    <w:rsid w:val="004B333A"/>
    <w:rsid w:val="004B596E"/>
    <w:rsid w:val="004D00D8"/>
    <w:rsid w:val="004D0747"/>
    <w:rsid w:val="004D7423"/>
    <w:rsid w:val="004E3A0F"/>
    <w:rsid w:val="004F064A"/>
    <w:rsid w:val="004F0E31"/>
    <w:rsid w:val="004F13EF"/>
    <w:rsid w:val="004F1D35"/>
    <w:rsid w:val="004F5861"/>
    <w:rsid w:val="004F6D31"/>
    <w:rsid w:val="00501345"/>
    <w:rsid w:val="0050296A"/>
    <w:rsid w:val="00516758"/>
    <w:rsid w:val="005167EA"/>
    <w:rsid w:val="005223F2"/>
    <w:rsid w:val="005232BF"/>
    <w:rsid w:val="00524C5C"/>
    <w:rsid w:val="005266BA"/>
    <w:rsid w:val="00532E91"/>
    <w:rsid w:val="005342B8"/>
    <w:rsid w:val="00535B75"/>
    <w:rsid w:val="005372D1"/>
    <w:rsid w:val="0055422F"/>
    <w:rsid w:val="0055442A"/>
    <w:rsid w:val="005550D3"/>
    <w:rsid w:val="00557494"/>
    <w:rsid w:val="00563746"/>
    <w:rsid w:val="00572E2E"/>
    <w:rsid w:val="00574B77"/>
    <w:rsid w:val="005774D7"/>
    <w:rsid w:val="0057794C"/>
    <w:rsid w:val="00583131"/>
    <w:rsid w:val="005839CD"/>
    <w:rsid w:val="00583CDD"/>
    <w:rsid w:val="00587CDD"/>
    <w:rsid w:val="00590C57"/>
    <w:rsid w:val="00592E9D"/>
    <w:rsid w:val="00593AEF"/>
    <w:rsid w:val="00593B72"/>
    <w:rsid w:val="0059419B"/>
    <w:rsid w:val="0059440F"/>
    <w:rsid w:val="0059442D"/>
    <w:rsid w:val="005A57BB"/>
    <w:rsid w:val="005B383F"/>
    <w:rsid w:val="005C13F1"/>
    <w:rsid w:val="005D2C1C"/>
    <w:rsid w:val="005D71BE"/>
    <w:rsid w:val="005E1DA5"/>
    <w:rsid w:val="005E21A5"/>
    <w:rsid w:val="005E4554"/>
    <w:rsid w:val="005F171D"/>
    <w:rsid w:val="005F2290"/>
    <w:rsid w:val="005F446B"/>
    <w:rsid w:val="005F68A1"/>
    <w:rsid w:val="0060087E"/>
    <w:rsid w:val="00616F2D"/>
    <w:rsid w:val="006205DE"/>
    <w:rsid w:val="00621DB5"/>
    <w:rsid w:val="00622C09"/>
    <w:rsid w:val="006253B2"/>
    <w:rsid w:val="00625688"/>
    <w:rsid w:val="006303E4"/>
    <w:rsid w:val="006309B2"/>
    <w:rsid w:val="00632913"/>
    <w:rsid w:val="006345DE"/>
    <w:rsid w:val="00637777"/>
    <w:rsid w:val="00642938"/>
    <w:rsid w:val="00642F78"/>
    <w:rsid w:val="00643C82"/>
    <w:rsid w:val="00647AF9"/>
    <w:rsid w:val="00654637"/>
    <w:rsid w:val="0065730F"/>
    <w:rsid w:val="006623CC"/>
    <w:rsid w:val="00663059"/>
    <w:rsid w:val="006640FD"/>
    <w:rsid w:val="00671DB2"/>
    <w:rsid w:val="00676781"/>
    <w:rsid w:val="00676AD2"/>
    <w:rsid w:val="00691FC7"/>
    <w:rsid w:val="006928A0"/>
    <w:rsid w:val="00696845"/>
    <w:rsid w:val="00697508"/>
    <w:rsid w:val="006A24D8"/>
    <w:rsid w:val="006A562C"/>
    <w:rsid w:val="006A6D78"/>
    <w:rsid w:val="006B7474"/>
    <w:rsid w:val="006B74A6"/>
    <w:rsid w:val="006B7D2F"/>
    <w:rsid w:val="006C139C"/>
    <w:rsid w:val="006D1759"/>
    <w:rsid w:val="006D275A"/>
    <w:rsid w:val="006D5CEC"/>
    <w:rsid w:val="006E0042"/>
    <w:rsid w:val="006E6C10"/>
    <w:rsid w:val="006F0DBC"/>
    <w:rsid w:val="006F0F0D"/>
    <w:rsid w:val="006F7D76"/>
    <w:rsid w:val="00702431"/>
    <w:rsid w:val="00707EF9"/>
    <w:rsid w:val="007112C8"/>
    <w:rsid w:val="0071215A"/>
    <w:rsid w:val="00712B35"/>
    <w:rsid w:val="00714F32"/>
    <w:rsid w:val="00714F56"/>
    <w:rsid w:val="007176AE"/>
    <w:rsid w:val="00723D7B"/>
    <w:rsid w:val="007314E7"/>
    <w:rsid w:val="00731770"/>
    <w:rsid w:val="007361E7"/>
    <w:rsid w:val="007379FB"/>
    <w:rsid w:val="00742057"/>
    <w:rsid w:val="00743549"/>
    <w:rsid w:val="007463CD"/>
    <w:rsid w:val="007507A1"/>
    <w:rsid w:val="00761868"/>
    <w:rsid w:val="007628CB"/>
    <w:rsid w:val="00762BCA"/>
    <w:rsid w:val="00762D30"/>
    <w:rsid w:val="007747B1"/>
    <w:rsid w:val="00775151"/>
    <w:rsid w:val="007773B7"/>
    <w:rsid w:val="0078080F"/>
    <w:rsid w:val="00791742"/>
    <w:rsid w:val="00794282"/>
    <w:rsid w:val="007961F6"/>
    <w:rsid w:val="007A06D1"/>
    <w:rsid w:val="007A3AEE"/>
    <w:rsid w:val="007A3EA7"/>
    <w:rsid w:val="007B039D"/>
    <w:rsid w:val="007B0A34"/>
    <w:rsid w:val="007B28D1"/>
    <w:rsid w:val="007B7FA3"/>
    <w:rsid w:val="007C696F"/>
    <w:rsid w:val="007D1FA6"/>
    <w:rsid w:val="007D4654"/>
    <w:rsid w:val="007F1281"/>
    <w:rsid w:val="007F2E8A"/>
    <w:rsid w:val="007F44C1"/>
    <w:rsid w:val="007F5B28"/>
    <w:rsid w:val="007F61A9"/>
    <w:rsid w:val="007F6851"/>
    <w:rsid w:val="00801FBC"/>
    <w:rsid w:val="00807C4C"/>
    <w:rsid w:val="0081658F"/>
    <w:rsid w:val="0081685D"/>
    <w:rsid w:val="00820A19"/>
    <w:rsid w:val="00824DBB"/>
    <w:rsid w:val="00831F0B"/>
    <w:rsid w:val="00833DE0"/>
    <w:rsid w:val="00833F4A"/>
    <w:rsid w:val="00834685"/>
    <w:rsid w:val="00836B3B"/>
    <w:rsid w:val="00840B00"/>
    <w:rsid w:val="00842155"/>
    <w:rsid w:val="00842C94"/>
    <w:rsid w:val="008433AC"/>
    <w:rsid w:val="00843C2E"/>
    <w:rsid w:val="00856FF2"/>
    <w:rsid w:val="00857A78"/>
    <w:rsid w:val="008602F7"/>
    <w:rsid w:val="0086353D"/>
    <w:rsid w:val="00871458"/>
    <w:rsid w:val="008716EA"/>
    <w:rsid w:val="008724D4"/>
    <w:rsid w:val="00876F6A"/>
    <w:rsid w:val="00877C18"/>
    <w:rsid w:val="00877D4D"/>
    <w:rsid w:val="00877F3C"/>
    <w:rsid w:val="00884BFE"/>
    <w:rsid w:val="008872F6"/>
    <w:rsid w:val="00893AB3"/>
    <w:rsid w:val="00896AE7"/>
    <w:rsid w:val="008A0435"/>
    <w:rsid w:val="008A1C36"/>
    <w:rsid w:val="008A2F70"/>
    <w:rsid w:val="008A3E7A"/>
    <w:rsid w:val="008B06E4"/>
    <w:rsid w:val="008B35C7"/>
    <w:rsid w:val="008B5E29"/>
    <w:rsid w:val="008C09A2"/>
    <w:rsid w:val="008C48EA"/>
    <w:rsid w:val="008C6B92"/>
    <w:rsid w:val="008D0377"/>
    <w:rsid w:val="008D1096"/>
    <w:rsid w:val="008D1977"/>
    <w:rsid w:val="008D64A6"/>
    <w:rsid w:val="008E00D2"/>
    <w:rsid w:val="008E0224"/>
    <w:rsid w:val="008E184A"/>
    <w:rsid w:val="008F0181"/>
    <w:rsid w:val="008F6A89"/>
    <w:rsid w:val="00901EAF"/>
    <w:rsid w:val="00902A5E"/>
    <w:rsid w:val="009049A1"/>
    <w:rsid w:val="009075D8"/>
    <w:rsid w:val="00912A56"/>
    <w:rsid w:val="00913242"/>
    <w:rsid w:val="00914B65"/>
    <w:rsid w:val="009158FD"/>
    <w:rsid w:val="00915B20"/>
    <w:rsid w:val="009219DB"/>
    <w:rsid w:val="009231E9"/>
    <w:rsid w:val="0093042F"/>
    <w:rsid w:val="00942159"/>
    <w:rsid w:val="0094267F"/>
    <w:rsid w:val="00943D5E"/>
    <w:rsid w:val="009649EB"/>
    <w:rsid w:val="009677C1"/>
    <w:rsid w:val="00974EC8"/>
    <w:rsid w:val="0098213F"/>
    <w:rsid w:val="009869CF"/>
    <w:rsid w:val="0099087A"/>
    <w:rsid w:val="0099288F"/>
    <w:rsid w:val="00993BCE"/>
    <w:rsid w:val="009A00FB"/>
    <w:rsid w:val="009A0961"/>
    <w:rsid w:val="009A0CE6"/>
    <w:rsid w:val="009A18CC"/>
    <w:rsid w:val="009A2014"/>
    <w:rsid w:val="009A5AE8"/>
    <w:rsid w:val="009B0961"/>
    <w:rsid w:val="009B13F1"/>
    <w:rsid w:val="009B48E6"/>
    <w:rsid w:val="009B4B84"/>
    <w:rsid w:val="009B4D3A"/>
    <w:rsid w:val="009B64E2"/>
    <w:rsid w:val="009C6856"/>
    <w:rsid w:val="009C7879"/>
    <w:rsid w:val="009D3866"/>
    <w:rsid w:val="009D5D69"/>
    <w:rsid w:val="009E1486"/>
    <w:rsid w:val="009E45F8"/>
    <w:rsid w:val="009E478B"/>
    <w:rsid w:val="009E7930"/>
    <w:rsid w:val="009F6C35"/>
    <w:rsid w:val="00A107C1"/>
    <w:rsid w:val="00A11857"/>
    <w:rsid w:val="00A14996"/>
    <w:rsid w:val="00A20A21"/>
    <w:rsid w:val="00A26499"/>
    <w:rsid w:val="00A30878"/>
    <w:rsid w:val="00A32A5A"/>
    <w:rsid w:val="00A36B0F"/>
    <w:rsid w:val="00A36D64"/>
    <w:rsid w:val="00A42006"/>
    <w:rsid w:val="00A46FCA"/>
    <w:rsid w:val="00A5050B"/>
    <w:rsid w:val="00A50638"/>
    <w:rsid w:val="00A51F0A"/>
    <w:rsid w:val="00A662AB"/>
    <w:rsid w:val="00A70027"/>
    <w:rsid w:val="00A8058B"/>
    <w:rsid w:val="00A80813"/>
    <w:rsid w:val="00A80B3B"/>
    <w:rsid w:val="00A81DCA"/>
    <w:rsid w:val="00A84C1F"/>
    <w:rsid w:val="00A90262"/>
    <w:rsid w:val="00A9259E"/>
    <w:rsid w:val="00A94E11"/>
    <w:rsid w:val="00A9659F"/>
    <w:rsid w:val="00A977BE"/>
    <w:rsid w:val="00AA3CED"/>
    <w:rsid w:val="00AB17BB"/>
    <w:rsid w:val="00AB1B9D"/>
    <w:rsid w:val="00AB277B"/>
    <w:rsid w:val="00AB3110"/>
    <w:rsid w:val="00AB6A0A"/>
    <w:rsid w:val="00AB706D"/>
    <w:rsid w:val="00AB7136"/>
    <w:rsid w:val="00AC0F23"/>
    <w:rsid w:val="00AC133E"/>
    <w:rsid w:val="00AC184E"/>
    <w:rsid w:val="00AC20E5"/>
    <w:rsid w:val="00AD12F3"/>
    <w:rsid w:val="00AD405B"/>
    <w:rsid w:val="00AF39D1"/>
    <w:rsid w:val="00AF4FAE"/>
    <w:rsid w:val="00AF549F"/>
    <w:rsid w:val="00AF67E1"/>
    <w:rsid w:val="00AF7BED"/>
    <w:rsid w:val="00AF7F7F"/>
    <w:rsid w:val="00B044BC"/>
    <w:rsid w:val="00B05059"/>
    <w:rsid w:val="00B108C6"/>
    <w:rsid w:val="00B11170"/>
    <w:rsid w:val="00B20A9E"/>
    <w:rsid w:val="00B2263C"/>
    <w:rsid w:val="00B22F76"/>
    <w:rsid w:val="00B246B9"/>
    <w:rsid w:val="00B24BED"/>
    <w:rsid w:val="00B2682D"/>
    <w:rsid w:val="00B26A3F"/>
    <w:rsid w:val="00B270F1"/>
    <w:rsid w:val="00B27CB6"/>
    <w:rsid w:val="00B30FF2"/>
    <w:rsid w:val="00B3461B"/>
    <w:rsid w:val="00B549E3"/>
    <w:rsid w:val="00B54D75"/>
    <w:rsid w:val="00B63BF3"/>
    <w:rsid w:val="00B66BC4"/>
    <w:rsid w:val="00B6791B"/>
    <w:rsid w:val="00B70F40"/>
    <w:rsid w:val="00B7116C"/>
    <w:rsid w:val="00B71465"/>
    <w:rsid w:val="00B72A1E"/>
    <w:rsid w:val="00B74E41"/>
    <w:rsid w:val="00B7597F"/>
    <w:rsid w:val="00B76A50"/>
    <w:rsid w:val="00B76BD1"/>
    <w:rsid w:val="00B81366"/>
    <w:rsid w:val="00B8387E"/>
    <w:rsid w:val="00B846B9"/>
    <w:rsid w:val="00B911E0"/>
    <w:rsid w:val="00B94D61"/>
    <w:rsid w:val="00B9757C"/>
    <w:rsid w:val="00BA0C4E"/>
    <w:rsid w:val="00BA0E2A"/>
    <w:rsid w:val="00BA3C38"/>
    <w:rsid w:val="00BA6B01"/>
    <w:rsid w:val="00BB07D3"/>
    <w:rsid w:val="00BB2B37"/>
    <w:rsid w:val="00BB30D4"/>
    <w:rsid w:val="00BB3573"/>
    <w:rsid w:val="00BC0F82"/>
    <w:rsid w:val="00BC1095"/>
    <w:rsid w:val="00BC21D7"/>
    <w:rsid w:val="00BC3614"/>
    <w:rsid w:val="00BC4961"/>
    <w:rsid w:val="00BC50C6"/>
    <w:rsid w:val="00BD2675"/>
    <w:rsid w:val="00BD4B46"/>
    <w:rsid w:val="00BE1129"/>
    <w:rsid w:val="00BE2651"/>
    <w:rsid w:val="00BE2709"/>
    <w:rsid w:val="00BE386B"/>
    <w:rsid w:val="00BE3B01"/>
    <w:rsid w:val="00BE7308"/>
    <w:rsid w:val="00BF60F7"/>
    <w:rsid w:val="00BF6999"/>
    <w:rsid w:val="00BF7411"/>
    <w:rsid w:val="00C00069"/>
    <w:rsid w:val="00C0674A"/>
    <w:rsid w:val="00C07917"/>
    <w:rsid w:val="00C10059"/>
    <w:rsid w:val="00C123FD"/>
    <w:rsid w:val="00C12C7E"/>
    <w:rsid w:val="00C223F0"/>
    <w:rsid w:val="00C2334C"/>
    <w:rsid w:val="00C24CB8"/>
    <w:rsid w:val="00C32E1F"/>
    <w:rsid w:val="00C35A59"/>
    <w:rsid w:val="00C37DA3"/>
    <w:rsid w:val="00C43BCB"/>
    <w:rsid w:val="00C4436B"/>
    <w:rsid w:val="00C446DB"/>
    <w:rsid w:val="00C45E3B"/>
    <w:rsid w:val="00C469F7"/>
    <w:rsid w:val="00C51161"/>
    <w:rsid w:val="00C52290"/>
    <w:rsid w:val="00C53268"/>
    <w:rsid w:val="00C65160"/>
    <w:rsid w:val="00C66406"/>
    <w:rsid w:val="00C6648F"/>
    <w:rsid w:val="00C6798B"/>
    <w:rsid w:val="00C70D82"/>
    <w:rsid w:val="00C70FD9"/>
    <w:rsid w:val="00C7166B"/>
    <w:rsid w:val="00C7355C"/>
    <w:rsid w:val="00C754B3"/>
    <w:rsid w:val="00C81EF3"/>
    <w:rsid w:val="00C85C93"/>
    <w:rsid w:val="00C875D8"/>
    <w:rsid w:val="00CA101A"/>
    <w:rsid w:val="00CA3DA1"/>
    <w:rsid w:val="00CA69D7"/>
    <w:rsid w:val="00CA6B75"/>
    <w:rsid w:val="00CA6E4B"/>
    <w:rsid w:val="00CB0D03"/>
    <w:rsid w:val="00CB1D54"/>
    <w:rsid w:val="00CB375A"/>
    <w:rsid w:val="00CC07E5"/>
    <w:rsid w:val="00CC1E9F"/>
    <w:rsid w:val="00CD0C7C"/>
    <w:rsid w:val="00CD43E7"/>
    <w:rsid w:val="00CD7D60"/>
    <w:rsid w:val="00CE073A"/>
    <w:rsid w:val="00CE49EC"/>
    <w:rsid w:val="00CE5052"/>
    <w:rsid w:val="00CF0404"/>
    <w:rsid w:val="00CF6B2D"/>
    <w:rsid w:val="00D040A9"/>
    <w:rsid w:val="00D11121"/>
    <w:rsid w:val="00D143EA"/>
    <w:rsid w:val="00D14C06"/>
    <w:rsid w:val="00D215CD"/>
    <w:rsid w:val="00D262F7"/>
    <w:rsid w:val="00D27C0C"/>
    <w:rsid w:val="00D30A8B"/>
    <w:rsid w:val="00D3298B"/>
    <w:rsid w:val="00D366A6"/>
    <w:rsid w:val="00D47498"/>
    <w:rsid w:val="00D62371"/>
    <w:rsid w:val="00D64EC4"/>
    <w:rsid w:val="00D64FA6"/>
    <w:rsid w:val="00D65C7F"/>
    <w:rsid w:val="00D6754B"/>
    <w:rsid w:val="00D70606"/>
    <w:rsid w:val="00D72F86"/>
    <w:rsid w:val="00D778C9"/>
    <w:rsid w:val="00D816DF"/>
    <w:rsid w:val="00D83E35"/>
    <w:rsid w:val="00D846A8"/>
    <w:rsid w:val="00D85305"/>
    <w:rsid w:val="00D91AEA"/>
    <w:rsid w:val="00D92A9F"/>
    <w:rsid w:val="00D93862"/>
    <w:rsid w:val="00D94C98"/>
    <w:rsid w:val="00DA191D"/>
    <w:rsid w:val="00DA3299"/>
    <w:rsid w:val="00DA3372"/>
    <w:rsid w:val="00DB062D"/>
    <w:rsid w:val="00DB27E8"/>
    <w:rsid w:val="00DB338D"/>
    <w:rsid w:val="00DB7A5B"/>
    <w:rsid w:val="00DD225B"/>
    <w:rsid w:val="00DD7485"/>
    <w:rsid w:val="00DE009C"/>
    <w:rsid w:val="00DE2EA4"/>
    <w:rsid w:val="00DE594E"/>
    <w:rsid w:val="00DE63E5"/>
    <w:rsid w:val="00DF2BDA"/>
    <w:rsid w:val="00DF5706"/>
    <w:rsid w:val="00E03C50"/>
    <w:rsid w:val="00E05A7F"/>
    <w:rsid w:val="00E06A33"/>
    <w:rsid w:val="00E10E04"/>
    <w:rsid w:val="00E14259"/>
    <w:rsid w:val="00E17289"/>
    <w:rsid w:val="00E30DDE"/>
    <w:rsid w:val="00E34A1A"/>
    <w:rsid w:val="00E359A6"/>
    <w:rsid w:val="00E42CD3"/>
    <w:rsid w:val="00E45B8A"/>
    <w:rsid w:val="00E50533"/>
    <w:rsid w:val="00E50F09"/>
    <w:rsid w:val="00E62E0A"/>
    <w:rsid w:val="00E72F36"/>
    <w:rsid w:val="00E75DBB"/>
    <w:rsid w:val="00E77074"/>
    <w:rsid w:val="00E80A77"/>
    <w:rsid w:val="00E8428A"/>
    <w:rsid w:val="00E91222"/>
    <w:rsid w:val="00E94197"/>
    <w:rsid w:val="00EA08B4"/>
    <w:rsid w:val="00EA1D0C"/>
    <w:rsid w:val="00EA2C83"/>
    <w:rsid w:val="00EB08C3"/>
    <w:rsid w:val="00EB4DE8"/>
    <w:rsid w:val="00EC02E6"/>
    <w:rsid w:val="00EC235E"/>
    <w:rsid w:val="00EC48A3"/>
    <w:rsid w:val="00EC7912"/>
    <w:rsid w:val="00EE0376"/>
    <w:rsid w:val="00EE3737"/>
    <w:rsid w:val="00EF1456"/>
    <w:rsid w:val="00EF1D22"/>
    <w:rsid w:val="00EF2662"/>
    <w:rsid w:val="00EF2FD1"/>
    <w:rsid w:val="00EF3494"/>
    <w:rsid w:val="00EF5737"/>
    <w:rsid w:val="00F01AE9"/>
    <w:rsid w:val="00F024DA"/>
    <w:rsid w:val="00F02604"/>
    <w:rsid w:val="00F0415B"/>
    <w:rsid w:val="00F049CA"/>
    <w:rsid w:val="00F04FE1"/>
    <w:rsid w:val="00F06AE0"/>
    <w:rsid w:val="00F13EFF"/>
    <w:rsid w:val="00F16B89"/>
    <w:rsid w:val="00F17168"/>
    <w:rsid w:val="00F17CEB"/>
    <w:rsid w:val="00F23B89"/>
    <w:rsid w:val="00F2527C"/>
    <w:rsid w:val="00F25A91"/>
    <w:rsid w:val="00F32F39"/>
    <w:rsid w:val="00F33D0B"/>
    <w:rsid w:val="00F372FF"/>
    <w:rsid w:val="00F40889"/>
    <w:rsid w:val="00F42FA6"/>
    <w:rsid w:val="00F43B1A"/>
    <w:rsid w:val="00F43D2E"/>
    <w:rsid w:val="00F43E3D"/>
    <w:rsid w:val="00F46883"/>
    <w:rsid w:val="00F50CD8"/>
    <w:rsid w:val="00F53DC0"/>
    <w:rsid w:val="00F57425"/>
    <w:rsid w:val="00F6010A"/>
    <w:rsid w:val="00F61213"/>
    <w:rsid w:val="00F67862"/>
    <w:rsid w:val="00F71286"/>
    <w:rsid w:val="00F7233C"/>
    <w:rsid w:val="00F740B9"/>
    <w:rsid w:val="00F74162"/>
    <w:rsid w:val="00F75941"/>
    <w:rsid w:val="00F76FC6"/>
    <w:rsid w:val="00F777D7"/>
    <w:rsid w:val="00F819C7"/>
    <w:rsid w:val="00F87185"/>
    <w:rsid w:val="00F87A13"/>
    <w:rsid w:val="00F92939"/>
    <w:rsid w:val="00F93E55"/>
    <w:rsid w:val="00F953A7"/>
    <w:rsid w:val="00FA7B5E"/>
    <w:rsid w:val="00FA7B87"/>
    <w:rsid w:val="00FB10CE"/>
    <w:rsid w:val="00FB56D4"/>
    <w:rsid w:val="00FC6086"/>
    <w:rsid w:val="00FC6761"/>
    <w:rsid w:val="00FC7ECC"/>
    <w:rsid w:val="00FD2924"/>
    <w:rsid w:val="00FD2B93"/>
    <w:rsid w:val="00FE2D74"/>
    <w:rsid w:val="00FE3539"/>
    <w:rsid w:val="00FF0CAD"/>
    <w:rsid w:val="31993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232CF"/>
  <w15:chartTrackingRefBased/>
  <w15:docId w15:val="{18F1DC89-C5CD-ED49-99F0-0A2B4EF7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firstLine="3960"/>
      <w:outlineLvl w:val="1"/>
    </w:pPr>
    <w:rPr>
      <w:rFonts w:ascii="Tahoma" w:hAnsi="Tahoma" w:cs="Tahoma"/>
      <w:i/>
      <w:iCs/>
    </w:rPr>
  </w:style>
  <w:style w:type="paragraph" w:styleId="3">
    <w:name w:val="heading 3"/>
    <w:basedOn w:val="a"/>
    <w:next w:val="a"/>
    <w:qFormat/>
    <w:pPr>
      <w:keepNext/>
      <w:ind w:firstLine="360"/>
      <w:outlineLvl w:val="2"/>
    </w:pPr>
    <w:rPr>
      <w:b/>
      <w:bCs/>
      <w:u w:val="single"/>
    </w:rPr>
  </w:style>
  <w:style w:type="paragraph" w:styleId="4">
    <w:name w:val="heading 4"/>
    <w:basedOn w:val="a"/>
    <w:next w:val="a"/>
    <w:qFormat/>
    <w:pPr>
      <w:keepNext/>
      <w:ind w:left="4320"/>
      <w:outlineLvl w:val="3"/>
    </w:pPr>
    <w:rPr>
      <w:rFonts w:ascii="Tahoma" w:hAnsi="Tahoma" w:cs="Tahoma"/>
      <w:b/>
      <w:bCs/>
    </w:rPr>
  </w:style>
  <w:style w:type="paragraph" w:styleId="5">
    <w:name w:val="heading 5"/>
    <w:basedOn w:val="a"/>
    <w:next w:val="a"/>
    <w:qFormat/>
    <w:pPr>
      <w:keepNext/>
      <w:ind w:firstLine="3780"/>
      <w:outlineLvl w:val="4"/>
    </w:pPr>
    <w:rPr>
      <w:rFonts w:ascii="Tahoma" w:hAnsi="Tahoma" w:cs="Tahoma"/>
      <w:b/>
      <w:bCs/>
    </w:rPr>
  </w:style>
  <w:style w:type="paragraph" w:styleId="6">
    <w:name w:val="heading 6"/>
    <w:basedOn w:val="a"/>
    <w:next w:val="a"/>
    <w:qFormat/>
    <w:pPr>
      <w:keepNext/>
      <w:ind w:left="3780"/>
      <w:outlineLvl w:val="5"/>
    </w:pPr>
    <w:rPr>
      <w:rFonts w:ascii="Tahoma" w:hAnsi="Tahoma" w:cs="Tahoma"/>
      <w:b/>
      <w:bC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rFonts w:ascii="Times New Roman" w:hAnsi="Times New Roman" w:cs="Times New Roman" w:hint="default"/>
      <w:i/>
      <w:iCs/>
    </w:rPr>
  </w:style>
  <w:style w:type="character" w:styleId="-">
    <w:name w:val="Hyperlink"/>
    <w:rPr>
      <w:color w:val="0000FF"/>
      <w:u w:val="single"/>
    </w:rPr>
  </w:style>
  <w:style w:type="character" w:styleId="a4">
    <w:name w:val="page number"/>
    <w:basedOn w:val="a0"/>
  </w:style>
  <w:style w:type="paragraph" w:styleId="a5">
    <w:name w:val="header"/>
    <w:basedOn w:val="a"/>
    <w:pPr>
      <w:tabs>
        <w:tab w:val="center" w:pos="4153"/>
        <w:tab w:val="right" w:pos="8306"/>
      </w:tabs>
    </w:pPr>
  </w:style>
  <w:style w:type="paragraph" w:styleId="a6">
    <w:name w:val="Block Text"/>
    <w:basedOn w:val="a"/>
    <w:pPr>
      <w:ind w:left="-720" w:right="-514" w:firstLine="360"/>
    </w:pPr>
    <w:rPr>
      <w:rFonts w:ascii="Tahoma" w:hAnsi="Tahoma" w:cs="Tahoma"/>
    </w:rPr>
  </w:style>
  <w:style w:type="paragraph" w:styleId="a7">
    <w:name w:val="Body Text Indent"/>
    <w:basedOn w:val="a"/>
    <w:pPr>
      <w:ind w:firstLine="360"/>
    </w:pPr>
    <w:rPr>
      <w:rFonts w:ascii="Tahoma" w:hAnsi="Tahoma" w:cs="Tahoma"/>
      <w:i/>
      <w:iCs/>
    </w:rPr>
  </w:style>
  <w:style w:type="paragraph" w:styleId="a8">
    <w:name w:val="Balloon Text"/>
    <w:basedOn w:val="a"/>
    <w:semiHidden/>
    <w:rPr>
      <w:rFonts w:ascii="Tahoma" w:hAnsi="Tahoma" w:cs="Tahoma"/>
      <w:sz w:val="16"/>
      <w:szCs w:val="16"/>
    </w:rPr>
  </w:style>
  <w:style w:type="paragraph" w:styleId="20">
    <w:name w:val="Body Text Indent 2"/>
    <w:basedOn w:val="a"/>
    <w:pPr>
      <w:ind w:firstLine="360"/>
    </w:pPr>
    <w:rPr>
      <w:rFonts w:ascii="Tahoma" w:hAnsi="Tahoma" w:cs="Tahoma"/>
      <w:b/>
      <w:bCs/>
    </w:rPr>
  </w:style>
  <w:style w:type="paragraph" w:styleId="a9">
    <w:name w:val="footer"/>
    <w:basedOn w:val="a"/>
    <w:pPr>
      <w:tabs>
        <w:tab w:val="center" w:pos="4153"/>
        <w:tab w:val="right" w:pos="8306"/>
      </w:tabs>
    </w:pPr>
  </w:style>
  <w:style w:type="paragraph" w:styleId="30">
    <w:name w:val="Body Text Indent 3"/>
    <w:basedOn w:val="a"/>
    <w:pPr>
      <w:ind w:firstLine="180"/>
      <w:jc w:val="both"/>
    </w:pPr>
    <w:rPr>
      <w:rFonts w:ascii="Tahoma" w:hAnsi="Tahoma" w:cs="Tahoma"/>
    </w:rPr>
  </w:style>
  <w:style w:type="paragraph" w:styleId="aa">
    <w:name w:val="Body Text"/>
    <w:basedOn w:val="a"/>
    <w:pPr>
      <w:ind w:right="-334"/>
      <w:jc w:val="both"/>
    </w:pPr>
    <w:rPr>
      <w:rFonts w:ascii="Tahoma" w:hAnsi="Tahoma" w:cs="Tahoma"/>
    </w:rPr>
  </w:style>
  <w:style w:type="table" w:styleId="ab">
    <w:name w:val="Table Grid"/>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4344</Characters>
  <Application>Microsoft Office Word</Application>
  <DocSecurity>0</DocSecurity>
  <Lines>36</Lines>
  <Paragraphs>10</Paragraphs>
  <ScaleCrop>false</ScaleCrop>
  <Company>NAD</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NAD</dc:creator>
  <cp:keywords/>
  <cp:lastModifiedBy>RENA RAVLAKI</cp:lastModifiedBy>
  <cp:revision>2</cp:revision>
  <cp:lastPrinted>2016-04-01T05:37:00Z</cp:lastPrinted>
  <dcterms:created xsi:type="dcterms:W3CDTF">2020-10-31T06:47:00Z</dcterms:created>
  <dcterms:modified xsi:type="dcterms:W3CDTF">2020-10-31T06:47:00Z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