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668" w:dyaOrig="2497">
          <v:rect xmlns:o="urn:schemas-microsoft-com:office:office" xmlns:v="urn:schemas-microsoft-com:vml" id="rectole0000000000" style="width:83.400000pt;height:124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810" w:dyaOrig="1670">
          <v:rect xmlns:o="urn:schemas-microsoft-com:office:office" xmlns:v="urn:schemas-microsoft-com:vml" id="rectole0000000001" style="width:140.500000pt;height:83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ΠΡΟΫΠΟΘΕΣΕΙΣ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ΕΝΤΑΞΗΣ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ΚΥΚΛΑΔΙΤΙΚΩΝ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ΠΡΟΪΟΝΤΩΝ</w:t>
      </w: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ΔΙΚΤΥΟ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‘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AEGEAN CUISINE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’</w:t>
      </w:r>
    </w:p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Μάιος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 2018</w:t>
      </w: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ενταχθεί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ένα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Κυκλαδίτικο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προϊόν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δίκτυο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Aegean Cuisine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πρέπει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πληροί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τις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παρακάτω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βασικές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προϋποθέσεις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πρέπει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είναι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τυποποιημένο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76"/>
        <w:ind w:right="0" w:left="36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μονάδα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παραγωγής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τυποποίησης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πρέπει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βρίσκεται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Νομό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Κυκλάδων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36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πρέπει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είναι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σε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ισχύ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προβλεπόμενη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από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νόμο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άδεια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λειτουργίας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της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μονάδας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παραγωγής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FF" w:val="clear"/>
        </w:rPr>
      </w:pPr>
    </w:p>
    <w:p>
      <w:pPr>
        <w:numPr>
          <w:ilvl w:val="0"/>
          <w:numId w:val="11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πρέπει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χρησιμοποιούνται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πρώτες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ύλες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από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τις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Κυκλάδες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ή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από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υπόλοιπα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νησιά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Αιγαίου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μέτρο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δυνατού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76"/>
        <w:ind w:right="0" w:left="36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πρέπει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παράγονται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βάση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παραδοσιακές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συνταγές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των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Κυκλάδων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ή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καινοτόμες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συνταγές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αρκεί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αξιοποιούν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τοπικές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πρώτες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ύλες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60" w:line="276"/>
        <w:ind w:right="0" w:left="72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FFFF00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Century Gothic" w:hAnsi="Century Gothic" w:cs="Century Gothic" w:eastAsia="Century Gothic"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ΠΡΟΪΟΝΤΑ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ΠΟΠ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/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ΠΓΕ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16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δίκτυο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Aegean Cuisine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εντάσσονται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αυτόματα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αυτοδικαίως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όσα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είναι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χαρακτηρισμένα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ΠΟΠ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Προστατευόμενη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Ονομασία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Προέλευσης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ή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ΠΓΕ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Προστατευόμενης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Γεωγραφικής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Ένδειξης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). 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ΕΠΙΠΛΕΟΝ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ΔΙΕΥΚΡΙΝΙΣΕΙΣ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ΑΡΙΘΜΟΣ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ΠΡΟΪΟΝΤΩΝ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ΕΝΤΑΞΗ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Κάθε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επιχείρηση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έχει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δυνατότητα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αιτηθεί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ένταξη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δίκτυο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όσα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παραγωγής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κρίνει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ότι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διαθέτουν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τις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ανάλογες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προδιαγραφές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ΣΗΜΕΙΩΣΗ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εντάχθηκαν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Α’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κύκλο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χρειάζεται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αποσταλούν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εκ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νέου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παρά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μόνο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έχει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αλλάξει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σύνθεσή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ΕΙΔΙΚΟ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ΣΗΜΑ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AEGEAN CUISINE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object w:dxaOrig="1410" w:dyaOrig="2331">
          <v:rect xmlns:o="urn:schemas-microsoft-com:office:office" xmlns:v="urn:schemas-microsoft-com:vml" id="rectole0000000002" style="width:70.500000pt;height:116.5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ένταξη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δίκτυο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ειδικό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σήμα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αφορά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μόνο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όσα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κάθε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παραγωγού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αξιολογηθούν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θετικά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αρμόδια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επιτροπή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επιτρέπεται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χρήση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τοποθέτηση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ειδικού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σήματος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έχουν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εγκριθεί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περίπτωση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εντοπισθεί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χρήση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σήματος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αξιολογημένα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ίδιου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παραγωγού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διαγράφονται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όλα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Μητρώο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Κυκλαδίτικων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ΧΡΟΝΙΚΗ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ΙΣΧΥΣ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ΣΗΜΑΤΟΣ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σήμα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έχει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ισχύ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όσο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χρονικό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διάστημα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αλλάζει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σύσταση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παραγωγός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υποχρεούται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ενημερώσει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άμεσα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Επιμελητήριο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Κυκλάδων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περίπτωση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γίνουν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αλλαγές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σύσταση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006699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ΔΙΑΔΙΚΑΣΙΑ</w:t>
      </w:r>
      <w:r>
        <w:rPr>
          <w:rFonts w:ascii="Century Gothic" w:hAnsi="Century Gothic" w:cs="Century Gothic" w:eastAsia="Century Gothic"/>
          <w:b/>
          <w:color w:val="006699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περίπτωση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ενδιαφέρεστε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αιτηθείτε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ένταξη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δίκτυο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Aegean Cuisine,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πρέπει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ακολουθήσετε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παρακάτω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διαδικασία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οποία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ισχύει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περίπτωση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ΠΟΠ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ΠΓΕ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Συμπλήρωση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της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σχετικής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ΑΙΤΗΣΗΣ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Αντίγραφο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της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ισχύουσας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άδειας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λειτουργίας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της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μονάδας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παραγωγής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Αντίγραφα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τυχόν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πιστοποιήσεων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διασφάλισης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ποιότητας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χ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. HACP) 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Δύο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(2)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δείγματα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στην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μικρότερη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εμπορικά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διαθέσιμη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συσκευασία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κάθε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προϊόν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αποστολή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εγγράφων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πρέπει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γίνει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μέσω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ταχυδρομείου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ή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courier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στην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παρακάτω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διεύθυνση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το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αργότερο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έως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την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Παρασκευή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Ιουνίου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2018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: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Επιμελητήριο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Κυκλάδων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Υπόψη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Ναταλίας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Παπαδοπούλου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ένταξη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δίκτυο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Aegean Cuisine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Απόλλωνος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&amp;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Λαδοπούλου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Ερμούπολη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84100 -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Σύρος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22810-82346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ΣΗΜΕΙΩΣΗ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ΕΥΠΑΘΗ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ΠΡΟΪΟΝΤΑ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τις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περιπτώσεις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ευπαθών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τυροκομικά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παρακαλούμε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βεβαιωθείτε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ότι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ημερομηνία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λήξης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προϊόντων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δεν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είναι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προγενέστερη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Ιουνίου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2018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που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θα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συνεδριάσει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Επιτροπή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Αξιολόγησης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Για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περισσότερες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πληροφορίες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μπορείτε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να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επικοινωνείτε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με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την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κα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Ναταλία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Παπαδοπούλου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τηλέφωνο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22810-82346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εσωτ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. 129)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και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μέσω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email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στο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6"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info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 HYPERLINK "mailto:info-cyclades@aegeancuisine.gr"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-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 HYPERLINK "mailto:info-cyclades@aegeancuisine.gr"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cyclades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 HYPERLINK "mailto:info-cyclades@aegeancuisine.gr"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@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 HYPERLINK "mailto:info-cyclades@aegeancuisine.gr"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aegeancuisine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 HYPERLINK "mailto:info-cyclades@aegeancuisine.gr"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 HYPERLINK "mailto:info-cyclades@aegeancuisine.gr"</w:t>
        </w:r>
        <w:r>
          <w:rPr>
            <w:rFonts w:ascii="Century Gothic" w:hAnsi="Century Gothic" w:cs="Century Gothic" w:eastAsia="Century Gothic"/>
            <w:b/>
            <w:i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gr</w:t>
        </w:r>
      </w:hyperlink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7">
    <w:abstractNumId w:val="24"/>
  </w:num>
  <w:num w:numId="9">
    <w:abstractNumId w:val="18"/>
  </w:num>
  <w:num w:numId="11">
    <w:abstractNumId w:val="12"/>
  </w:num>
  <w:num w:numId="13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numbering.xml" Id="docRId7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Mode="External" Target="mailto:info-cyclades@aegeancuisine.gr" Id="docRId6" Type="http://schemas.openxmlformats.org/officeDocument/2006/relationships/hyperlink" /><Relationship Target="styles.xml" Id="docRId8" Type="http://schemas.openxmlformats.org/officeDocument/2006/relationships/styles" /><Relationship Target="media/image0.wmf" Id="docRId1" Type="http://schemas.openxmlformats.org/officeDocument/2006/relationships/image" /><Relationship Target="media/image2.wmf" Id="docRId5" Type="http://schemas.openxmlformats.org/officeDocument/2006/relationships/image" /></Relationships>
</file>