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120" w:line="30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u w:val="single"/>
          <w:shd w:fill="auto" w:val="clear"/>
        </w:rPr>
        <w:t xml:space="preserve">ΜΕΣΟΠΡΟΘΕΣΜΑ &amp;  ΜΑΚΡΟΠΡΟΘΕΣΜΑ ΜΕΤΡΑ ΔΙΑΧΕΙΡΙΣΗΣ ΥΔΑΤΙΚΩΝ ΠΟΡΩΝ</w:t>
      </w:r>
    </w:p>
    <w:p>
      <w:pPr>
        <w:numPr>
          <w:ilvl w:val="0"/>
          <w:numId w:val="2"/>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Εκπόνηση υδρογεωλογικής Μελέτης ανά υδρολογική λεκάνη, ώστε να είναι γνωστό το υδατικό ισοζύγιο κάθε περιοχής.</w:t>
      </w:r>
    </w:p>
    <w:p>
      <w:pPr>
        <w:numPr>
          <w:ilvl w:val="0"/>
          <w:numId w:val="2"/>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Μελέτη διαχείρισης υδατικών πόρων ανά υδρογεωλογική λεκάνη. Καθορισμός αναγκών &amp; ζήτησης, ποσοτικών και ποιοτικών χαρακτηριστικών για στήριξη:</w:t>
      </w:r>
    </w:p>
    <w:p>
      <w:pPr>
        <w:numPr>
          <w:ilvl w:val="0"/>
          <w:numId w:val="2"/>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Ύδρευσης.</w:t>
      </w:r>
    </w:p>
    <w:p>
      <w:pPr>
        <w:numPr>
          <w:ilvl w:val="0"/>
          <w:numId w:val="2"/>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Άρδευσης.</w:t>
      </w:r>
    </w:p>
    <w:p>
      <w:pPr>
        <w:numPr>
          <w:ilvl w:val="0"/>
          <w:numId w:val="2"/>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Βιοτεχνίας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Εξόρυξης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Μεταποίησης.</w:t>
      </w:r>
    </w:p>
    <w:p>
      <w:pPr>
        <w:numPr>
          <w:ilvl w:val="0"/>
          <w:numId w:val="2"/>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Περιβαλλοντικού Αποθέματος. </w:t>
      </w:r>
    </w:p>
    <w:p>
      <w:pPr>
        <w:spacing w:before="120" w:after="120" w:line="30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Παράδειγμα τέτοιας μελέτης που είναι καταγεγραμμένη στο πρόγραμμα της Κίνησης από την άνοιξη του έτους 2014 είναι η Μελέτη Διαχείρισης Υδατικών Πόρων Λιβαδίου Νάξου που είναι ενταγμένη στην 1</w:t>
      </w:r>
      <w:r>
        <w:rPr>
          <w:rFonts w:ascii="Cambria" w:hAnsi="Cambria" w:cs="Cambria" w:eastAsia="Cambria"/>
          <w:color w:val="auto"/>
          <w:spacing w:val="0"/>
          <w:position w:val="0"/>
          <w:sz w:val="24"/>
          <w:shd w:fill="auto" w:val="clear"/>
          <w:vertAlign w:val="superscript"/>
        </w:rPr>
        <w:t xml:space="preserve">η</w:t>
      </w:r>
      <w:r>
        <w:rPr>
          <w:rFonts w:ascii="Cambria" w:hAnsi="Cambria" w:cs="Cambria" w:eastAsia="Cambria"/>
          <w:color w:val="auto"/>
          <w:spacing w:val="0"/>
          <w:position w:val="0"/>
          <w:sz w:val="24"/>
          <w:shd w:fill="auto" w:val="clear"/>
        </w:rPr>
        <w:t xml:space="preserve"> Αναθεώρηση του Σχεδίου Διαχείρισης Λεκανών Απορροής Ποταμών του Υδατικού Διαμερίσματος Νήσων Αιγαίου με Κωδικό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Ονομασία Μέτρου: Μ14Σ1602, Φορέα Υλοποίησης τη Διεύθυνση Υδάτων Νοτίου Αιγαίου και κόστος 400.000</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ώστε τα έργα που θα προκύψουν από αυτή τη μελέτη να εκτελεστούν στην επόμενη διαχειριστική περίοδο.</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Εγκατάσταση μονάδων αφαλάτωσης για την αντιμετώπιση θερινών αιχμών ζήτησης και φαινομένων λειψυδρίας στους παραλιακούς οικισμούς.</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Καλλιέργεια και προστασία πηγών για απόληψη φυσικών υδάτων.</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Τεχνητός εμπλουτισμός υπογείων υδροφορέων με φυσικά ύδατα. Άρση της υφαλμύρινσης.</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Μελέτη και κατασκευή μικρών φραγμάτων ανάσχεσης ομβρίων απορροών στις ορεινές περιοχές για κάλυψη των αναγκών άρδευσης και ποτίσματος των ζώων αλλά και για ύδρευση. Πρόβλεψη ανακατασκευής των αναβαθμίδων.</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Master Plan </w:t>
      </w:r>
      <w:r>
        <w:rPr>
          <w:rFonts w:ascii="Cambria" w:hAnsi="Cambria" w:cs="Cambria" w:eastAsia="Cambria"/>
          <w:color w:val="auto"/>
          <w:spacing w:val="0"/>
          <w:position w:val="0"/>
          <w:sz w:val="24"/>
          <w:shd w:fill="auto" w:val="clear"/>
        </w:rPr>
        <w:t xml:space="preserve">αντιμετώπισης περιοδικών φαινομένων λειψυδρίας με ιεράρχηση ενεργειών και πηγών άντλησης υδάτων για διοχέτευση στη ζήτηση:</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Εγκατάσταση φθηνών και αξιόπιστων μεθόδων περιορισμού της εξατμισοδιαπνοής στους επιφανειακούς ταμιευτήρες. </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Χρήση υπόγειων υδροφορέων που θα έχουν προκύψει από την υδρογεωλογική μελέτη ως ταμιευτήρων φυσικών υδάτων που θα διοχετεύονται σε αυτούς με τεχνητό εμπλουτισμό.</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Έγκαιρη (από την άνοιξη) ενεργοποίηση αφαλατώσεων και ταμίευση της παραγωγής για δημιουργία αποθεμάτων.</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Επιλογή περιοχών άντλησης υπογείων υδάτων ανάλογα με τα διαθέσιμα υπόλοιπα και τη ζήτηση.</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Νομιμοποίηση και περιβαλλοντική αδειοδότηση όλων των δημοτικών ΕΕΛ. </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Αναβάθμιση δημοτικών ΕΕΛ με στόχο την επαναχρησιμοποίηση των επεξεργασμένων αστικών λυμάτων για άρδευση ή τεχνητό εμπλουτισμό των υπόγειων υδροφορέων. Η συγκεκριμένη παρέμβαση είναι απαραίτητη και επείγουσα για τον ΒΙΟΚΑ Τσικαλαριού, καθώς ο ΒΙΟΚΑ σήμερα εκβάλει στη λεκάνη κατάκλυσης του υπό κατασκευή φράγματος Τσικαλαριού.</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Εκπόνηση μελέτης δικτύων άρδευσης και ύδρευσης από το φράγμα Τσικαλαριού, ώστε να καταστεί σύντομα πλήρως εκμεταλλεύσιμη η συγκεκριμένη υποδομή.</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Δημιουργία και θεσμοθέτηση ζωνών προστασίας δημοτικών υδροληψιών (επιφανειακών και υπόγειων). </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Ζώνη Ι: άμεσης προστασίας</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Ζώνη ΙΙ: ζώνη ελέγχου</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Ζώνη ΙΙΙ: ζώνη επιτήρησης </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Εκπόνηση ΣΑΝ (Σχεδίου Ασφάλειας Νερού).</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Δημιουργία δικτύου κεντρικού ελέγχου των φυσικοχημικών χαρακτηριστικών και της πιεζομετρίας των υπόγειων υδάτων σε κάθε υδρογεωλογική λεκάνη που θα προκύψει από τις υδρογεωλογικές μελέτες.</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Διαχειριστικό σχέδιο ύδρευσης στο οποίο έχουν εντοπιστεί οι υδατικοί πόροι που θα καλύψουν τις ανάγκες ύδρευσης σε μεσοπρόθεσμο και μακροπρόθεσμο ορίζοντα. Εντοπίζονται τα εξωτερικά υδραγωγεία, καθορίζονται τα μέτρα προστασίας και επιπρόσθετα γίνεται:</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Έλεγχος σταθμών και διαρροών στις δημοτικές δεξαμενές με αυτοματοποιημένο τρόπο.</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Έλεγχος κατάστασης και διαρροών στα δημοτικά δίκτυα μεταφοράς και διανομής ύδατος με αυτοματοποιημένο τρόπο.</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Καταγραφή και σταδιακή αντικατάσταση φθαρμένων δικτύων &amp; υδρομέτρων.</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Περιορισμός και εξάλειψη της υδατοκλοπής. </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Διαχειριστικό Σχέδιο Άρδευσης μέσω οργανισμού (ΤΟΕΒ ή Δημοτικής δομής) για την ανάκτηση του κόστους κτήσης αρδευτικού νερού από τους αγρότες.</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Μελέτη και κατασκευή νέων αρδευτικών δικτύων.</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Μέριμνα για εγκατάσταση συστημάτων εξοικονόμησης ύδατος σε υδροβόρες καλλιέργειες.</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Θεσμοθέτηση εναρμονισμένης τιμολογιακής πολιτικής υδάτων ύδρευσης και άρδευσης με σκοπό: </w:t>
      </w:r>
    </w:p>
    <w:p>
      <w:pPr>
        <w:numPr>
          <w:ilvl w:val="0"/>
          <w:numId w:val="5"/>
        </w:numPr>
        <w:spacing w:before="0" w:after="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επιβραβεύεται η εξοικονόμηση.</w:t>
      </w:r>
    </w:p>
    <w:p>
      <w:pPr>
        <w:numPr>
          <w:ilvl w:val="0"/>
          <w:numId w:val="5"/>
        </w:numPr>
        <w:spacing w:before="0" w:after="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αποθαρρύνεται η υπερκατανάλωση.</w:t>
      </w:r>
    </w:p>
    <w:p>
      <w:pPr>
        <w:numPr>
          <w:ilvl w:val="0"/>
          <w:numId w:val="5"/>
        </w:numPr>
        <w:spacing w:before="0" w:after="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παρέχεται κίνητρο για την επανακατοίκηση των οικισμών.</w:t>
      </w:r>
    </w:p>
    <w:p>
      <w:pPr>
        <w:numPr>
          <w:ilvl w:val="0"/>
          <w:numId w:val="5"/>
        </w:numPr>
        <w:spacing w:before="0" w:after="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Να παρέχεται κίνητρο στους αγρότες για την ανακατασκευή των αναβαθμίδων και την επανακαλλιέργεια της ορεινής και ημιορεινής ζώνης.</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Αναδιοργάνωση της Εσωτερικής Υπηρεσίας του Δήμου με στελέχωση των Διευθύνσεων &amp; Τμημάτων για την υποστήριξη των ανωτέρω δράσεων και μέσω νέου οργανισμού (ΔΕΥΑ, ΤΟΕΒ, άλλη δημοτική δομή). Πρόσληψη υπαλλήλων.</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Περιοδική ανάρτηση όλων των δεδομένων αναφορικά με τους ελέγχους ποιότητας των υδάτων ανθρώπινης κατανάλωσης στην επίσημη ιστοσελίδα του Δήμου.</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Μελέτη και εγκατάσταση δημοτικής μονάδας παραγωγής ηλεκτρικής ενέργειας από ΑΠΕ για την αντιστάθμιση της κατανάλωσης ηλεκτρικής ενέργειας από τις ενεργοβόρες υποδομές ύδρευσης ή/και αποχέτευσης μέσω του προγράμματος εικονικού net metering.</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Διεκδίκηση θεσμοθέτησης υποχρέωσης κατασκευής δεξαμενών αποθήκευσης ομβρίων υδάτων για νέες κατασκευές κατοικίας, μεταποίησης, αγροτικών εκμεταλλεύσεων και τουριστικών καταλυμάτων.</w:t>
      </w:r>
    </w:p>
    <w:p>
      <w:pPr>
        <w:numPr>
          <w:ilvl w:val="0"/>
          <w:numId w:val="5"/>
        </w:numPr>
        <w:spacing w:before="120" w:after="120" w:line="300"/>
        <w:ind w:right="0" w:left="72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Ευαισθητοποίηση πολιτών για την ανάγκη εξοικονόμησης ύδατος:</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Ενημέρωση στα σχολεία για την καλλιέργεια υδρολογικής &amp; οικολογικής συνείδησης στις νέες γενιές.</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Συνεργασία με τις επαγγελματικές ενώσεις και τους παραγωγικούς φορείς αναφορικά με τις δράσεις εξοικονόμησης ύδατος.</w:t>
      </w:r>
    </w:p>
    <w:p>
      <w:pPr>
        <w:numPr>
          <w:ilvl w:val="0"/>
          <w:numId w:val="5"/>
        </w:numPr>
        <w:spacing w:before="120" w:after="120" w:line="300"/>
        <w:ind w:right="0" w:left="1440" w:hanging="357"/>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Συνεργασία με το ΚΕΓΕ για την ενσωμάτωση βέλτιστων διαθέσιμων πρακτικών άρδευσης στις αγροτικές εκμεταλλεύσεις.</w:t>
      </w:r>
    </w:p>
    <w:p>
      <w:pPr>
        <w:spacing w:before="120" w:after="120" w:line="300"/>
        <w:ind w:right="0" w:left="0" w:firstLine="0"/>
        <w:jc w:val="both"/>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